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EBC7F0" w14:textId="77777777" w:rsidR="006C1881" w:rsidRDefault="006C1881" w:rsidP="006C1881">
      <w:pPr>
        <w:pStyle w:val="CRCoverPage"/>
        <w:tabs>
          <w:tab w:val="right" w:pos="9639"/>
        </w:tabs>
        <w:spacing w:after="0"/>
        <w:rPr>
          <w:b/>
          <w:i/>
          <w:noProof/>
          <w:sz w:val="28"/>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Pr>
          <w:b/>
          <w:noProof/>
          <w:sz w:val="24"/>
        </w:rPr>
        <w:tab/>
      </w:r>
      <w:r w:rsidRPr="00395031">
        <w:rPr>
          <w:b/>
          <w:noProof/>
          <w:sz w:val="24"/>
        </w:rPr>
        <w:t>3GPP TSG</w:t>
      </w:r>
      <w:r>
        <w:rPr>
          <w:b/>
          <w:noProof/>
          <w:sz w:val="24"/>
        </w:rPr>
        <w:t xml:space="preserve"> RA WG1</w:t>
      </w:r>
      <w:r w:rsidRPr="00935FCE">
        <w:rPr>
          <w:b/>
          <w:noProof/>
          <w:sz w:val="24"/>
        </w:rPr>
        <w:t xml:space="preserve"> </w:t>
      </w:r>
      <w:r>
        <w:rPr>
          <w:b/>
          <w:noProof/>
          <w:sz w:val="24"/>
        </w:rPr>
        <w:t>Meeting #86bis</w:t>
      </w:r>
      <w:r w:rsidRPr="00311202">
        <w:rPr>
          <w:b/>
          <w:noProof/>
          <w:sz w:val="28"/>
        </w:rPr>
        <w:tab/>
      </w:r>
      <w:r w:rsidRPr="003D54A2">
        <w:rPr>
          <w:b/>
          <w:noProof/>
          <w:sz w:val="24"/>
        </w:rPr>
        <w:t>R1-</w:t>
      </w:r>
      <w:r w:rsidRPr="003D54A2">
        <w:rPr>
          <w:sz w:val="24"/>
        </w:rPr>
        <w:t xml:space="preserve"> </w:t>
      </w:r>
      <w:r w:rsidRPr="003D54A2">
        <w:rPr>
          <w:b/>
          <w:noProof/>
          <w:sz w:val="24"/>
        </w:rPr>
        <w:t>1610397</w:t>
      </w:r>
    </w:p>
    <w:p w14:paraId="1D61F73D" w14:textId="77777777" w:rsidR="006C1881" w:rsidRPr="000F1261" w:rsidRDefault="006C1881" w:rsidP="006C1881">
      <w:pPr>
        <w:pStyle w:val="CRCoverPage"/>
        <w:outlineLvl w:val="0"/>
        <w:rPr>
          <w:b/>
          <w:noProof/>
          <w:sz w:val="24"/>
        </w:rPr>
      </w:pPr>
      <w:r>
        <w:rPr>
          <w:rFonts w:eastAsia="SimSun"/>
          <w:b/>
          <w:sz w:val="24"/>
          <w:szCs w:val="24"/>
          <w:lang w:eastAsia="zh-CN"/>
        </w:rPr>
        <w:t>Lisbon, Portugal,</w:t>
      </w:r>
      <w:r w:rsidRPr="000A6AEA">
        <w:rPr>
          <w:rFonts w:eastAsia="SimSun"/>
          <w:b/>
          <w:sz w:val="24"/>
          <w:szCs w:val="24"/>
          <w:lang w:eastAsia="zh-CN"/>
        </w:rPr>
        <w:t xml:space="preserve"> </w:t>
      </w:r>
      <w:r>
        <w:rPr>
          <w:rFonts w:eastAsia="SimSun"/>
          <w:b/>
          <w:sz w:val="24"/>
          <w:szCs w:val="24"/>
          <w:lang w:eastAsia="zh-CN"/>
        </w:rPr>
        <w:t>October 10-14</w:t>
      </w:r>
      <w:r w:rsidRPr="000A6AEA">
        <w:rPr>
          <w:rFonts w:eastAsia="SimSun"/>
          <w:b/>
          <w:sz w:val="24"/>
          <w:szCs w:val="24"/>
          <w:lang w:eastAsia="zh-CN"/>
        </w:rPr>
        <w:t>, 2016</w:t>
      </w:r>
    </w:p>
    <w:p w14:paraId="5256A9B7" w14:textId="77777777" w:rsidR="006C1881" w:rsidRPr="009177A5" w:rsidRDefault="006C1881" w:rsidP="006C1881">
      <w:pPr>
        <w:tabs>
          <w:tab w:val="left" w:pos="2556"/>
          <w:tab w:val="left" w:pos="2955"/>
        </w:tabs>
        <w:spacing w:after="120"/>
        <w:ind w:left="1985" w:hanging="1985"/>
        <w:rPr>
          <w:rFonts w:ascii="Arial" w:hAnsi="Arial" w:cs="Arial"/>
          <w:b/>
        </w:rPr>
      </w:pPr>
      <w:r>
        <w:rPr>
          <w:rFonts w:ascii="Arial" w:hAnsi="Arial" w:cs="Arial"/>
          <w:b/>
        </w:rPr>
        <w:tab/>
      </w:r>
      <w:r>
        <w:rPr>
          <w:rFonts w:ascii="Arial" w:hAnsi="Arial" w:cs="Arial"/>
          <w:b/>
        </w:rPr>
        <w:tab/>
      </w:r>
      <w:r>
        <w:rPr>
          <w:rFonts w:ascii="Arial" w:hAnsi="Arial" w:cs="Arial"/>
          <w:b/>
        </w:rPr>
        <w:tab/>
      </w:r>
    </w:p>
    <w:p w14:paraId="61B9A10D" w14:textId="77777777" w:rsidR="006C1881" w:rsidRPr="009177A5" w:rsidRDefault="006C1881" w:rsidP="006C1881">
      <w:pPr>
        <w:spacing w:after="120"/>
        <w:ind w:left="1985" w:hanging="1985"/>
        <w:rPr>
          <w:rFonts w:ascii="Arial" w:hAnsi="Arial" w:cs="Arial"/>
          <w:bCs/>
        </w:rPr>
      </w:pPr>
      <w:r w:rsidRPr="009177A5">
        <w:rPr>
          <w:rFonts w:ascii="Arial" w:hAnsi="Arial" w:cs="Arial"/>
          <w:b/>
        </w:rPr>
        <w:t>Source:</w:t>
      </w:r>
      <w:r w:rsidRPr="009177A5">
        <w:rPr>
          <w:rFonts w:ascii="Arial" w:hAnsi="Arial" w:cs="Arial"/>
          <w:b/>
        </w:rPr>
        <w:tab/>
      </w:r>
      <w:r>
        <w:rPr>
          <w:rFonts w:ascii="Arial" w:hAnsi="Arial" w:cs="Arial"/>
          <w:bCs/>
        </w:rPr>
        <w:t>Cohere Technologies</w:t>
      </w:r>
    </w:p>
    <w:p w14:paraId="29646C2E" w14:textId="77777777" w:rsidR="006C1881" w:rsidRPr="003A07F3" w:rsidRDefault="006C1881" w:rsidP="006C1881">
      <w:pPr>
        <w:spacing w:after="120"/>
        <w:ind w:left="1985" w:hanging="1985"/>
        <w:rPr>
          <w:rFonts w:ascii="Arial" w:hAnsi="Arial" w:cs="Arial"/>
          <w:b/>
        </w:rPr>
      </w:pPr>
      <w:r w:rsidRPr="003C5C42">
        <w:rPr>
          <w:rFonts w:ascii="Arial" w:hAnsi="Arial" w:cs="Arial"/>
          <w:b/>
        </w:rPr>
        <w:t>Title:</w:t>
      </w:r>
      <w:r w:rsidRPr="000C51A5">
        <w:rPr>
          <w:rFonts w:ascii="Arial" w:hAnsi="Arial" w:cs="Arial"/>
        </w:rPr>
        <w:tab/>
      </w:r>
      <w:r w:rsidRPr="000C15B6">
        <w:rPr>
          <w:rFonts w:ascii="Arial" w:hAnsi="Arial" w:cs="Arial"/>
          <w:bCs/>
        </w:rPr>
        <w:t xml:space="preserve">OTFS </w:t>
      </w:r>
      <w:r>
        <w:rPr>
          <w:rFonts w:ascii="Arial" w:hAnsi="Arial" w:cs="Arial"/>
          <w:bCs/>
        </w:rPr>
        <w:t>PAPR Analysis</w:t>
      </w:r>
    </w:p>
    <w:p w14:paraId="0C96EF3D" w14:textId="77777777" w:rsidR="006C1881" w:rsidRPr="003A07F3" w:rsidRDefault="006C1881" w:rsidP="006C1881">
      <w:pPr>
        <w:spacing w:after="120"/>
        <w:ind w:left="1985" w:hanging="1985"/>
        <w:rPr>
          <w:rFonts w:ascii="Arial" w:hAnsi="Arial" w:cs="Arial"/>
          <w:bCs/>
          <w:color w:val="FF0000"/>
          <w:lang w:val="pt-BR"/>
        </w:rPr>
      </w:pPr>
      <w:r w:rsidRPr="003A07F3">
        <w:rPr>
          <w:rFonts w:ascii="Arial" w:hAnsi="Arial" w:cs="Arial"/>
          <w:b/>
          <w:lang w:val="pt-BR"/>
        </w:rPr>
        <w:t>Agenda item:</w:t>
      </w:r>
      <w:r w:rsidRPr="00096FE3">
        <w:rPr>
          <w:rFonts w:ascii="Arial" w:hAnsi="Arial" w:cs="Arial"/>
          <w:lang w:val="pt-BR"/>
        </w:rPr>
        <w:tab/>
      </w:r>
      <w:r>
        <w:rPr>
          <w:rFonts w:ascii="Arial" w:hAnsi="Arial" w:cs="Arial"/>
          <w:lang w:val="pt-BR"/>
        </w:rPr>
        <w:t>8.1.1.1</w:t>
      </w:r>
    </w:p>
    <w:p w14:paraId="1564B86D" w14:textId="77777777" w:rsidR="006C1881" w:rsidRPr="003C5C42" w:rsidRDefault="006C1881" w:rsidP="006C1881">
      <w:pPr>
        <w:spacing w:after="120"/>
        <w:ind w:left="1985" w:hanging="1985"/>
        <w:rPr>
          <w:rFonts w:ascii="Arial" w:hAnsi="Arial" w:cs="Arial"/>
          <w:bCs/>
          <w:color w:val="FF0000"/>
          <w:lang w:val="pt-BR"/>
        </w:rPr>
      </w:pPr>
      <w:r w:rsidRPr="00EE458A">
        <w:rPr>
          <w:rFonts w:ascii="Arial" w:hAnsi="Arial" w:cs="Arial"/>
          <w:b/>
        </w:rPr>
        <w:t>Document</w:t>
      </w:r>
      <w:r w:rsidRPr="003A07F3">
        <w:rPr>
          <w:rFonts w:ascii="Arial" w:hAnsi="Arial" w:cs="Arial"/>
          <w:b/>
          <w:lang w:val="pt-BR"/>
        </w:rPr>
        <w:t xml:space="preserve"> for:</w:t>
      </w:r>
      <w:r w:rsidRPr="003A07F3">
        <w:rPr>
          <w:rFonts w:ascii="Arial" w:hAnsi="Arial" w:cs="Arial"/>
          <w:b/>
          <w:lang w:val="pt-BR"/>
        </w:rPr>
        <w:tab/>
      </w:r>
      <w:r w:rsidRPr="00673902">
        <w:rPr>
          <w:rFonts w:ascii="Arial" w:hAnsi="Arial" w:cs="Arial"/>
          <w:bCs/>
        </w:rPr>
        <w:t>Discussion</w:t>
      </w:r>
    </w:p>
    <w:p w14:paraId="5403E917" w14:textId="77777777" w:rsidR="006C1881" w:rsidRPr="005212C7" w:rsidRDefault="006C1881" w:rsidP="006C1881">
      <w:pPr>
        <w:pBdr>
          <w:bottom w:val="single" w:sz="4" w:space="1" w:color="auto"/>
        </w:pBdr>
        <w:rPr>
          <w:rFonts w:ascii="Arial" w:hAnsi="Arial" w:cs="Arial"/>
        </w:rPr>
      </w:pPr>
    </w:p>
    <w:p w14:paraId="3511F9BD" w14:textId="77777777" w:rsidR="006C1881" w:rsidRDefault="006C1881" w:rsidP="006C1881">
      <w:pPr>
        <w:pStyle w:val="Heading2"/>
      </w:pPr>
      <w:bookmarkStart w:id="12" w:name="_Ref441342277"/>
      <w:r w:rsidRPr="002B09BC">
        <w:t>Introduction</w:t>
      </w:r>
      <w:r>
        <w:t xml:space="preserve"> </w:t>
      </w:r>
      <w:bookmarkEnd w:id="12"/>
    </w:p>
    <w:p w14:paraId="0DA68E19" w14:textId="08E5427C" w:rsidR="006C1881" w:rsidRDefault="006C1881" w:rsidP="006C1881">
      <w:r>
        <w:t xml:space="preserve">In the context of the Way Forward agreed </w:t>
      </w:r>
      <w:r>
        <w:fldChar w:fldCharType="begin"/>
      </w:r>
      <w:r>
        <w:instrText xml:space="preserve"> REF _Ref450836942 \r \h </w:instrText>
      </w:r>
      <w:r>
        <w:fldChar w:fldCharType="separate"/>
      </w:r>
      <w:r>
        <w:t>[1]</w:t>
      </w:r>
      <w:r>
        <w:fldChar w:fldCharType="end"/>
      </w:r>
      <w:r>
        <w:t xml:space="preserve"> on the evaluation of different waveforms, the importance of PAPR performance of various waveforms on the selection of the appropriate waveform for NR has been discussed in the pre</w:t>
      </w:r>
      <w:r w:rsidR="003D54A2">
        <w:t>vious meeting. A number of docu</w:t>
      </w:r>
      <w:r>
        <w:t xml:space="preserve">ments justifying </w:t>
      </w:r>
      <w:r w:rsidR="007A6C14">
        <w:t>t</w:t>
      </w:r>
      <w:r>
        <w:t xml:space="preserve">he importance of PAPR performance on the selection of the appropriate waveform for NR has treated this topic </w:t>
      </w:r>
      <w:r>
        <w:fldChar w:fldCharType="begin"/>
      </w:r>
      <w:r>
        <w:instrText xml:space="preserve"> REF _Ref450837675 \r \h </w:instrText>
      </w:r>
      <w:r>
        <w:fldChar w:fldCharType="separate"/>
      </w:r>
      <w:r>
        <w:t>[1]</w:t>
      </w:r>
      <w:r>
        <w:fldChar w:fldCharType="end"/>
      </w:r>
      <w:r>
        <w:t>-</w:t>
      </w:r>
      <w:r w:rsidR="006509DC">
        <w:fldChar w:fldCharType="begin"/>
      </w:r>
      <w:r w:rsidR="006509DC">
        <w:instrText xml:space="preserve"> REF _Ref462988425 \n \h </w:instrText>
      </w:r>
      <w:r w:rsidR="006509DC">
        <w:fldChar w:fldCharType="separate"/>
      </w:r>
      <w:r w:rsidR="008E474C">
        <w:t>[6]</w:t>
      </w:r>
      <w:r w:rsidR="006509DC">
        <w:fldChar w:fldCharType="end"/>
      </w:r>
      <w:r>
        <w:t xml:space="preserve">. Therein, consideration of the link budget requirements set for NR, as well as the requirement for low energy consumption for certain number of devices is mentioned as the main driver for maintaining a relatively low PAPR in NR. </w:t>
      </w:r>
      <w:r w:rsidR="00103C98">
        <w:t xml:space="preserve">Therefore, a Way Forward on </w:t>
      </w:r>
      <w:r w:rsidR="00FB5262">
        <w:t xml:space="preserve">low PAPR techniques for both uplink </w:t>
      </w:r>
      <w:r w:rsidR="002A3287">
        <w:fldChar w:fldCharType="begin"/>
      </w:r>
      <w:r w:rsidR="002A3287">
        <w:instrText xml:space="preserve"> REF _Ref463005796 \n \h </w:instrText>
      </w:r>
      <w:r w:rsidR="002A3287">
        <w:fldChar w:fldCharType="separate"/>
      </w:r>
      <w:r w:rsidR="008E474C">
        <w:t>[7]</w:t>
      </w:r>
      <w:r w:rsidR="002A3287">
        <w:fldChar w:fldCharType="end"/>
      </w:r>
      <w:r w:rsidR="00FB5262">
        <w:t xml:space="preserve"> and downlink </w:t>
      </w:r>
      <w:r w:rsidR="002A3287">
        <w:fldChar w:fldCharType="begin"/>
      </w:r>
      <w:r w:rsidR="002A3287">
        <w:instrText xml:space="preserve"> REF _Ref463005814 \n \h </w:instrText>
      </w:r>
      <w:r w:rsidR="002A3287">
        <w:fldChar w:fldCharType="separate"/>
      </w:r>
      <w:r w:rsidR="008E474C">
        <w:t>[8]</w:t>
      </w:r>
      <w:r w:rsidR="002A3287">
        <w:fldChar w:fldCharType="end"/>
      </w:r>
      <w:r w:rsidR="00FB5262">
        <w:t xml:space="preserve"> for NR ha</w:t>
      </w:r>
      <w:r w:rsidR="00B34E1D">
        <w:t>s</w:t>
      </w:r>
      <w:r w:rsidR="00FB5262">
        <w:t xml:space="preserve"> been proposed.</w:t>
      </w:r>
    </w:p>
    <w:p w14:paraId="49A5FEAB" w14:textId="3A06C825" w:rsidR="006C1881" w:rsidRDefault="006C1881" w:rsidP="006C1881">
      <w:r>
        <w:t xml:space="preserve">In this contribution we </w:t>
      </w:r>
      <w:r w:rsidR="005F7F78">
        <w:t>analyze</w:t>
      </w:r>
      <w:r>
        <w:t xml:space="preserve"> the performance of OTFS (Orthogonal Time Frequency Space) in terms of PAPR.</w:t>
      </w:r>
      <w:r w:rsidR="00D93488">
        <w:t xml:space="preserve"> Comparison with both OFDM and SC-FDMA systems is done.</w:t>
      </w:r>
      <w:r w:rsidR="006D7D23">
        <w:t xml:space="preserve"> The discussion below focuses on the comparison of OTFS versus SC-FDMA. Ther</w:t>
      </w:r>
      <w:r w:rsidR="00A5200A">
        <w:t>e</w:t>
      </w:r>
      <w:r w:rsidR="006D7D23">
        <w:t>fore, the discussion herein treats the uplink.</w:t>
      </w:r>
      <w:r>
        <w:t xml:space="preserve"> </w:t>
      </w:r>
      <w:r w:rsidR="00CC5C00">
        <w:t>PAPR a</w:t>
      </w:r>
      <w:r w:rsidR="006D7D23">
        <w:t xml:space="preserve">nalysis </w:t>
      </w:r>
      <w:r>
        <w:t>indicate</w:t>
      </w:r>
      <w:r w:rsidR="00A5200A">
        <w:t>s</w:t>
      </w:r>
      <w:r>
        <w:t xml:space="preserve"> that OTFS performs</w:t>
      </w:r>
      <w:r w:rsidR="00FA046C">
        <w:t xml:space="preserve"> equally well as</w:t>
      </w:r>
      <w:r>
        <w:t xml:space="preserve"> SC-FDMA for small number of physical resource block (PRB) allocations</w:t>
      </w:r>
      <w:r w:rsidR="00FA046C">
        <w:t>. Hence, OTFS can lead to relatively low PAPR values as SC-FDMA while offering the inherent OTFS property of higher diversity in the frequency domain</w:t>
      </w:r>
      <w:r w:rsidR="00CC5C00">
        <w:t xml:space="preserve"> yielding higher reliability and enhanced link margins</w:t>
      </w:r>
      <w:r w:rsidR="00FA046C">
        <w:t>. This places OTFS as a candidate waveform for NR.</w:t>
      </w:r>
    </w:p>
    <w:p w14:paraId="64C3D61A" w14:textId="77777777" w:rsidR="006C1881" w:rsidRDefault="006C1881" w:rsidP="006C1881">
      <w:pPr>
        <w:pStyle w:val="Heading2"/>
      </w:pPr>
      <w:r>
        <w:t>OTFS Transmission Principles</w:t>
      </w:r>
    </w:p>
    <w:p w14:paraId="47F994F1" w14:textId="2DD56F82" w:rsidR="006C1881" w:rsidRDefault="006C1881" w:rsidP="006C1881">
      <w:r>
        <w:t xml:space="preserve">Traditional OFDM modulation operates in the frequency-time domains. </w:t>
      </w:r>
      <w:r w:rsidR="00E75536">
        <w:t xml:space="preserve">An </w:t>
      </w:r>
      <w:r>
        <w:t>OF</w:t>
      </w:r>
      <w:r w:rsidR="00E75536">
        <w:t>DM resource elements (RE) occupies</w:t>
      </w:r>
      <w:r>
        <w:t xml:space="preserve"> one subcarrier on one particular OFDM symbol. In contrast, O</w:t>
      </w:r>
      <w:r w:rsidR="00E75536">
        <w:t>TFS modulation operates in the D</w:t>
      </w:r>
      <w:r>
        <w:t>elay</w:t>
      </w:r>
      <w:r w:rsidR="00E75536">
        <w:t xml:space="preserve"> spread</w:t>
      </w:r>
      <w:r>
        <w:t xml:space="preserve">-Doppler plane domains, which are related to frequency and time by the symplectic Fourier transform, a two-dimensional discrete Fourier transform. Similarly to SC-FDMA, OTFS can be implemented as a preprocessing step on top of an underlying OFDM signal. The following </w:t>
      </w:r>
      <w:r w:rsidR="00B41E15">
        <w:fldChar w:fldCharType="begin"/>
      </w:r>
      <w:r w:rsidR="00B41E15">
        <w:instrText xml:space="preserve"> REF _Ref463007802 \h </w:instrText>
      </w:r>
      <w:r w:rsidR="00B41E15">
        <w:fldChar w:fldCharType="separate"/>
      </w:r>
      <w:r w:rsidR="00B41E15">
        <w:t xml:space="preserve">Figure </w:t>
      </w:r>
      <w:r w:rsidR="00B41E15">
        <w:rPr>
          <w:noProof/>
        </w:rPr>
        <w:t>1</w:t>
      </w:r>
      <w:r w:rsidR="00B41E15">
        <w:fldChar w:fldCharType="end"/>
      </w:r>
      <w:r w:rsidR="009523FE">
        <w:t xml:space="preserve"> </w:t>
      </w:r>
      <w:r>
        <w:t xml:space="preserve">illustrates the relationships between different domains. </w:t>
      </w:r>
    </w:p>
    <w:p w14:paraId="4CD3CA60" w14:textId="77777777" w:rsidR="006C1881" w:rsidRDefault="006C1881" w:rsidP="006C1881">
      <w:pPr>
        <w:keepNext/>
        <w:jc w:val="center"/>
      </w:pPr>
      <w:r w:rsidRPr="00CC5469">
        <w:rPr>
          <w:noProof/>
        </w:rPr>
        <w:drawing>
          <wp:inline distT="0" distB="0" distL="0" distR="0" wp14:anchorId="611A3F16" wp14:editId="46F320A9">
            <wp:extent cx="5943600" cy="22796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2279650"/>
                    </a:xfrm>
                    <a:prstGeom prst="rect">
                      <a:avLst/>
                    </a:prstGeom>
                  </pic:spPr>
                </pic:pic>
              </a:graphicData>
            </a:graphic>
          </wp:inline>
        </w:drawing>
      </w:r>
    </w:p>
    <w:p w14:paraId="640A3C85" w14:textId="7201072D" w:rsidR="006C1881" w:rsidRDefault="006C1881" w:rsidP="00B34E1D">
      <w:pPr>
        <w:pStyle w:val="Caption"/>
        <w:jc w:val="center"/>
      </w:pPr>
      <w:bookmarkStart w:id="13" w:name="_Ref463007802"/>
      <w:r>
        <w:t xml:space="preserve">Figure </w:t>
      </w:r>
      <w:r w:rsidR="00772641">
        <w:fldChar w:fldCharType="begin"/>
      </w:r>
      <w:r w:rsidR="00772641">
        <w:rPr>
          <w:b w:val="0"/>
        </w:rPr>
        <w:instrText xml:space="preserve"> SEQ Figure \* ARABIC </w:instrText>
      </w:r>
      <w:r w:rsidR="00772641">
        <w:fldChar w:fldCharType="separate"/>
      </w:r>
      <w:r w:rsidR="002E5F16">
        <w:rPr>
          <w:b w:val="0"/>
          <w:noProof/>
        </w:rPr>
        <w:t>1</w:t>
      </w:r>
      <w:r w:rsidR="00772641">
        <w:rPr>
          <w:noProof/>
        </w:rPr>
        <w:fldChar w:fldCharType="end"/>
      </w:r>
      <w:bookmarkEnd w:id="13"/>
      <w:r>
        <w:t>. Illustration of OTFS transform</w:t>
      </w:r>
      <w:r w:rsidR="0076240C">
        <w:t>.</w:t>
      </w:r>
    </w:p>
    <w:p w14:paraId="77C0AD2E" w14:textId="77777777" w:rsidR="006C1881" w:rsidRDefault="006C1881" w:rsidP="006C1881">
      <w:r>
        <w:t xml:space="preserve">In OTFS, resource elements are defined in the delay-Doppler domains, which provide a two-dimensional grid similar to OFDM. The size of the delay-Doppler resource grid is related to the size of the frequency-time plane by the signal properties, i.e. bandwidth, TTI duration, sub-carrier spacing, and symbol length. These relationships are expressed by the following equalities: </w:t>
      </w:r>
    </w:p>
    <w:p w14:paraId="35C0A902" w14:textId="77777777" w:rsidR="006C1881" w:rsidRPr="00FE4487" w:rsidRDefault="00B03E01" w:rsidP="006C1881">
      <w:pPr>
        <w:jc w:val="center"/>
      </w:pPr>
      <m:oMathPara>
        <m:oMath>
          <m:sSub>
            <m:sSubPr>
              <m:ctrlPr>
                <w:rPr>
                  <w:rFonts w:ascii="Cambria Math" w:hAnsi="Cambria Math"/>
                  <w:i/>
                  <w:iCs/>
                </w:rPr>
              </m:ctrlPr>
            </m:sSubPr>
            <m:e>
              <m:r>
                <w:rPr>
                  <w:rFonts w:ascii="Cambria Math" w:hAnsi="Cambria Math"/>
                </w:rPr>
                <m:t>N</m:t>
              </m:r>
            </m:e>
            <m:sub>
              <m:r>
                <w:rPr>
                  <w:rFonts w:ascii="Cambria Math" w:hAnsi="Cambria Math"/>
                </w:rPr>
                <m:t>S,τ</m:t>
              </m:r>
            </m:sub>
          </m:sSub>
          <m:r>
            <w:rPr>
              <w:rFonts w:ascii="Cambria Math" w:hAnsi="Cambria Math"/>
            </w:rPr>
            <m:t>=B/Δf</m:t>
          </m:r>
        </m:oMath>
      </m:oMathPara>
    </w:p>
    <w:p w14:paraId="3B208FC3" w14:textId="77777777" w:rsidR="006C1881" w:rsidRPr="00FE4487" w:rsidRDefault="00B03E01" w:rsidP="006C1881">
      <m:oMathPara>
        <m:oMath>
          <m:sSub>
            <m:sSubPr>
              <m:ctrlPr>
                <w:rPr>
                  <w:rFonts w:ascii="Cambria Math" w:hAnsi="Cambria Math"/>
                  <w:i/>
                  <w:iCs/>
                </w:rPr>
              </m:ctrlPr>
            </m:sSubPr>
            <m:e>
              <m:r>
                <w:rPr>
                  <w:rFonts w:ascii="Cambria Math" w:hAnsi="Cambria Math"/>
                </w:rPr>
                <m:t>N</m:t>
              </m:r>
            </m:e>
            <m:sub>
              <m:r>
                <w:rPr>
                  <w:rFonts w:ascii="Cambria Math" w:hAnsi="Cambria Math"/>
                </w:rPr>
                <m:t>S,ν</m:t>
              </m:r>
            </m:sub>
          </m:sSub>
          <m:r>
            <w:rPr>
              <w:rFonts w:ascii="Cambria Math" w:hAnsi="Cambria Math"/>
            </w:rPr>
            <m:t>=TTI/T</m:t>
          </m:r>
        </m:oMath>
      </m:oMathPara>
    </w:p>
    <w:p w14:paraId="6B38041A" w14:textId="67A09151" w:rsidR="006C1881" w:rsidRDefault="006C1881" w:rsidP="006C1881">
      <w:pPr>
        <w:rPr>
          <w:rFonts w:eastAsiaTheme="minorEastAsia"/>
          <w:iCs/>
        </w:rPr>
      </w:pPr>
      <w:r>
        <w:t xml:space="preserve">where </w:t>
      </w:r>
      <m:oMath>
        <m:sSub>
          <m:sSubPr>
            <m:ctrlPr>
              <w:rPr>
                <w:rFonts w:ascii="Cambria Math" w:hAnsi="Cambria Math"/>
                <w:i/>
                <w:iCs/>
              </w:rPr>
            </m:ctrlPr>
          </m:sSubPr>
          <m:e>
            <m:r>
              <w:rPr>
                <w:rFonts w:ascii="Cambria Math" w:hAnsi="Cambria Math"/>
              </w:rPr>
              <m:t>N</m:t>
            </m:r>
          </m:e>
          <m:sub>
            <m:r>
              <w:rPr>
                <w:rFonts w:ascii="Cambria Math" w:hAnsi="Cambria Math"/>
              </w:rPr>
              <m:t>S,τ</m:t>
            </m:r>
          </m:sub>
        </m:sSub>
      </m:oMath>
      <w:r w:rsidR="005E47E9">
        <w:rPr>
          <w:rFonts w:eastAsiaTheme="minorEastAsia"/>
          <w:iCs/>
        </w:rPr>
        <w:t xml:space="preserve"> denotes the number of </w:t>
      </w:r>
      <w:r w:rsidR="002E5F16">
        <w:rPr>
          <w:rFonts w:eastAsiaTheme="minorEastAsia"/>
          <w:iCs/>
        </w:rPr>
        <w:t>bins</w:t>
      </w:r>
      <w:r w:rsidR="005E47E9">
        <w:rPr>
          <w:rFonts w:eastAsiaTheme="minorEastAsia"/>
          <w:iCs/>
        </w:rPr>
        <w:t xml:space="preserve"> in the Delay Spread domain</w:t>
      </w:r>
      <w:r w:rsidR="002E5F16">
        <w:rPr>
          <w:rFonts w:eastAsiaTheme="minorEastAsia"/>
          <w:iCs/>
        </w:rPr>
        <w:t xml:space="preserve"> </w:t>
      </w:r>
      <w:r>
        <w:rPr>
          <w:rFonts w:eastAsiaTheme="minorEastAsia"/>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S,ν</m:t>
            </m:r>
          </m:sub>
        </m:sSub>
      </m:oMath>
      <w:r>
        <w:rPr>
          <w:rFonts w:eastAsiaTheme="minorEastAsia"/>
          <w:iCs/>
        </w:rPr>
        <w:t xml:space="preserve"> the number of b</w:t>
      </w:r>
      <w:r w:rsidR="002E5F16">
        <w:rPr>
          <w:rFonts w:eastAsiaTheme="minorEastAsia"/>
          <w:iCs/>
        </w:rPr>
        <w:t>in</w:t>
      </w:r>
      <w:r>
        <w:rPr>
          <w:rFonts w:eastAsiaTheme="minorEastAsia"/>
          <w:iCs/>
        </w:rPr>
        <w:t xml:space="preserve">s </w:t>
      </w:r>
      <w:r w:rsidR="005E47E9">
        <w:rPr>
          <w:rFonts w:eastAsiaTheme="minorEastAsia"/>
          <w:iCs/>
        </w:rPr>
        <w:t xml:space="preserve">in the Doppler domain </w:t>
      </w:r>
      <w:r>
        <w:rPr>
          <w:rFonts w:eastAsiaTheme="minorEastAsia"/>
          <w:iCs/>
        </w:rPr>
        <w:t xml:space="preserve">in the OTFS grid. </w:t>
      </w:r>
      <w:r w:rsidR="003E7D65" w:rsidRPr="002E5F16">
        <w:rPr>
          <w:rFonts w:eastAsiaTheme="minorEastAsia"/>
          <w:i/>
          <w:iCs/>
        </w:rPr>
        <w:t>B</w:t>
      </w:r>
      <w:r w:rsidR="003E7D65">
        <w:rPr>
          <w:rFonts w:eastAsiaTheme="minorEastAsia"/>
          <w:iCs/>
        </w:rPr>
        <w:t xml:space="preserve"> stands for the allocated bandwidth, </w:t>
      </w:r>
      <w:r w:rsidR="003E7D65" w:rsidRPr="002E5F16">
        <w:rPr>
          <w:rFonts w:eastAsiaTheme="minorEastAsia"/>
          <w:i/>
          <w:iCs/>
        </w:rPr>
        <w:sym w:font="Symbol" w:char="F044"/>
      </w:r>
      <w:r w:rsidR="003E7D65" w:rsidRPr="002E5F16">
        <w:rPr>
          <w:rFonts w:eastAsiaTheme="minorEastAsia"/>
          <w:i/>
          <w:iCs/>
        </w:rPr>
        <w:t>f</w:t>
      </w:r>
      <w:r w:rsidR="003E7D65">
        <w:rPr>
          <w:rFonts w:eastAsiaTheme="minorEastAsia"/>
          <w:iCs/>
        </w:rPr>
        <w:t xml:space="preserve"> is the subcarrier spacing and </w:t>
      </w:r>
      <w:r w:rsidR="003E7D65" w:rsidRPr="002E5F16">
        <w:rPr>
          <w:rFonts w:eastAsiaTheme="minorEastAsia"/>
          <w:i/>
          <w:iCs/>
        </w:rPr>
        <w:t>T</w:t>
      </w:r>
      <w:r w:rsidR="003E7D65">
        <w:rPr>
          <w:rFonts w:eastAsiaTheme="minorEastAsia"/>
          <w:iCs/>
        </w:rPr>
        <w:t xml:space="preserve"> is the symbol duration. </w:t>
      </w:r>
      <w:r w:rsidR="00D9662E">
        <w:rPr>
          <w:rFonts w:eastAsiaTheme="minorEastAsia"/>
          <w:iCs/>
        </w:rPr>
        <w:t xml:space="preserve">Note that in this example </w:t>
      </w:r>
      <w:r w:rsidR="005E47E9">
        <w:rPr>
          <w:rFonts w:eastAsiaTheme="minorEastAsia"/>
          <w:iCs/>
        </w:rPr>
        <w:t>there is an exact matching</w:t>
      </w:r>
      <w:r w:rsidR="00D9662E">
        <w:rPr>
          <w:rFonts w:eastAsiaTheme="minorEastAsia"/>
          <w:iCs/>
        </w:rPr>
        <w:t xml:space="preserve"> between the delay</w:t>
      </w:r>
      <w:r w:rsidR="005E47E9">
        <w:rPr>
          <w:rFonts w:eastAsiaTheme="minorEastAsia"/>
          <w:iCs/>
        </w:rPr>
        <w:t xml:space="preserve"> spread</w:t>
      </w:r>
      <w:r w:rsidR="00D9662E">
        <w:rPr>
          <w:rFonts w:eastAsiaTheme="minorEastAsia"/>
          <w:iCs/>
        </w:rPr>
        <w:t xml:space="preserve"> and frequency domains, and, similarly, </w:t>
      </w:r>
      <w:r w:rsidR="001D45A0">
        <w:rPr>
          <w:rFonts w:eastAsiaTheme="minorEastAsia"/>
          <w:iCs/>
        </w:rPr>
        <w:t xml:space="preserve">between </w:t>
      </w:r>
      <w:r w:rsidR="00D9662E">
        <w:rPr>
          <w:rFonts w:eastAsiaTheme="minorEastAsia"/>
          <w:iCs/>
        </w:rPr>
        <w:t xml:space="preserve">the Doppler and time domains. Therefore, the number of delay dimensions equals the number of active subcarriers in the OFDM signal, while the number of Doppler dimensions equals the number of </w:t>
      </w:r>
      <w:r w:rsidR="005E47E9">
        <w:rPr>
          <w:rFonts w:eastAsiaTheme="minorEastAsia"/>
          <w:iCs/>
        </w:rPr>
        <w:t xml:space="preserve">OFDM </w:t>
      </w:r>
      <w:r w:rsidR="00D9662E">
        <w:rPr>
          <w:rFonts w:eastAsiaTheme="minorEastAsia"/>
          <w:iCs/>
        </w:rPr>
        <w:t>symbols in the TTI.</w:t>
      </w:r>
    </w:p>
    <w:p w14:paraId="780DC8DC" w14:textId="585E7F37" w:rsidR="006C1881" w:rsidRDefault="003B2CB3" w:rsidP="006C1881">
      <w:r>
        <w:rPr>
          <w:rFonts w:eastAsiaTheme="minorEastAsia"/>
          <w:iCs/>
        </w:rPr>
        <w:t>An</w:t>
      </w:r>
      <w:r w:rsidR="0039147B">
        <w:rPr>
          <w:rFonts w:eastAsiaTheme="minorEastAsia"/>
          <w:iCs/>
        </w:rPr>
        <w:t xml:space="preserve"> OTFS</w:t>
      </w:r>
      <w:r w:rsidR="006C1881">
        <w:rPr>
          <w:rFonts w:eastAsiaTheme="minorEastAsia"/>
          <w:iCs/>
        </w:rPr>
        <w:t xml:space="preserve"> Physical Resource Block (PRB) </w:t>
      </w:r>
      <w:r w:rsidR="003605C1">
        <w:rPr>
          <w:rFonts w:eastAsiaTheme="minorEastAsia"/>
          <w:iCs/>
        </w:rPr>
        <w:t xml:space="preserve">can be defined as the number of </w:t>
      </w:r>
      <w:r w:rsidR="006C1881">
        <w:rPr>
          <w:rFonts w:eastAsiaTheme="minorEastAsia"/>
          <w:iCs/>
        </w:rPr>
        <w:t xml:space="preserve">symbols corresponding to </w:t>
      </w:r>
      <w:r w:rsidR="003605C1">
        <w:rPr>
          <w:rFonts w:eastAsiaTheme="minorEastAsia"/>
          <w:iCs/>
        </w:rPr>
        <w:t>the number of resource elements within an OFDM PRB, but in the D</w:t>
      </w:r>
      <w:r w:rsidR="006C1881">
        <w:rPr>
          <w:rFonts w:eastAsiaTheme="minorEastAsia"/>
          <w:iCs/>
        </w:rPr>
        <w:t>elay</w:t>
      </w:r>
      <w:r w:rsidR="003605C1">
        <w:rPr>
          <w:rFonts w:eastAsiaTheme="minorEastAsia"/>
          <w:iCs/>
        </w:rPr>
        <w:t xml:space="preserve"> Spread</w:t>
      </w:r>
      <w:r w:rsidR="006C1881">
        <w:rPr>
          <w:rFonts w:eastAsiaTheme="minorEastAsia"/>
          <w:iCs/>
        </w:rPr>
        <w:t xml:space="preserve">-Doppler domains. For example, an OTFS PRB may be defined as a region occupying </w:t>
      </w:r>
      <m:oMath>
        <m:sSub>
          <m:sSubPr>
            <m:ctrlPr>
              <w:rPr>
                <w:rFonts w:ascii="Cambria Math" w:hAnsi="Cambria Math"/>
                <w:i/>
                <w:iCs/>
              </w:rPr>
            </m:ctrlPr>
          </m:sSubPr>
          <m:e>
            <m:r>
              <w:rPr>
                <w:rFonts w:ascii="Cambria Math" w:hAnsi="Cambria Math"/>
              </w:rPr>
              <m:t>N</m:t>
            </m:r>
          </m:e>
          <m:sub>
            <m:r>
              <w:rPr>
                <w:rFonts w:ascii="Cambria Math" w:hAnsi="Cambria Math"/>
              </w:rPr>
              <m:t>RB,τ</m:t>
            </m:r>
          </m:sub>
        </m:sSub>
      </m:oMath>
      <w:r w:rsidR="006C1881">
        <w:rPr>
          <w:rFonts w:eastAsiaTheme="minorEastAsia"/>
          <w:iCs/>
        </w:rPr>
        <w:t>x</w:t>
      </w:r>
      <m:oMath>
        <m:sSub>
          <m:sSubPr>
            <m:ctrlPr>
              <w:rPr>
                <w:rFonts w:ascii="Cambria Math" w:hAnsi="Cambria Math"/>
                <w:i/>
                <w:iCs/>
              </w:rPr>
            </m:ctrlPr>
          </m:sSubPr>
          <m:e>
            <m:r>
              <w:rPr>
                <w:rFonts w:ascii="Cambria Math" w:hAnsi="Cambria Math"/>
              </w:rPr>
              <m:t>N</m:t>
            </m:r>
          </m:e>
          <m:sub>
            <m:r>
              <w:rPr>
                <w:rFonts w:ascii="Cambria Math" w:hAnsi="Cambria Math"/>
              </w:rPr>
              <m:t>RB,ν</m:t>
            </m:r>
          </m:sub>
        </m:sSub>
      </m:oMath>
      <w:r w:rsidR="006C1881">
        <w:rPr>
          <w:rFonts w:eastAsiaTheme="minorEastAsia"/>
          <w:iCs/>
        </w:rPr>
        <w:t xml:space="preserve"> RE, where, the total number of RE  </w:t>
      </w:r>
      <m:oMath>
        <m:sSub>
          <m:sSubPr>
            <m:ctrlPr>
              <w:rPr>
                <w:rFonts w:ascii="Cambria Math" w:hAnsi="Cambria Math"/>
                <w:i/>
                <w:iCs/>
              </w:rPr>
            </m:ctrlPr>
          </m:sSubPr>
          <m:e>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 N</m:t>
            </m:r>
          </m:e>
          <m:sub>
            <m:r>
              <w:rPr>
                <w:rFonts w:ascii="Cambria Math" w:hAnsi="Cambria Math"/>
              </w:rPr>
              <m:t>RB,τ</m:t>
            </m:r>
          </m:sub>
        </m:sSub>
        <m:sSub>
          <m:sSubPr>
            <m:ctrlPr>
              <w:rPr>
                <w:rFonts w:ascii="Cambria Math" w:hAnsi="Cambria Math"/>
                <w:i/>
                <w:iCs/>
              </w:rPr>
            </m:ctrlPr>
          </m:sSubPr>
          <m:e>
            <m:r>
              <w:rPr>
                <w:rFonts w:ascii="Cambria Math" w:hAnsi="Cambria Math"/>
              </w:rPr>
              <m:t>N</m:t>
            </m:r>
          </m:e>
          <m:sub>
            <m:r>
              <w:rPr>
                <w:rFonts w:ascii="Cambria Math" w:hAnsi="Cambria Math"/>
              </w:rPr>
              <m:t>RB,ν</m:t>
            </m:r>
          </m:sub>
        </m:sSub>
      </m:oMath>
      <w:r w:rsidR="006C1881">
        <w:rPr>
          <w:rFonts w:eastAsiaTheme="minorEastAsia"/>
          <w:iCs/>
        </w:rPr>
        <w:t xml:space="preserve"> equals the number of RE in an OFDM PRB. </w:t>
      </w:r>
      <w:r w:rsidR="002377C8">
        <w:rPr>
          <w:rFonts w:eastAsiaTheme="minorEastAsia"/>
          <w:iCs/>
        </w:rPr>
        <w:t>Different OTFS PRB configurations might be considered. Eg. i</w:t>
      </w:r>
      <w:r w:rsidR="006C1881">
        <w:rPr>
          <w:rFonts w:eastAsiaTheme="minorEastAsia"/>
          <w:iCs/>
        </w:rPr>
        <w:t xml:space="preserve">n one particular case we may define a PRB to span </w:t>
      </w:r>
      <m:oMath>
        <m:sSub>
          <m:sSubPr>
            <m:ctrlPr>
              <w:rPr>
                <w:rFonts w:ascii="Cambria Math" w:hAnsi="Cambria Math"/>
                <w:i/>
                <w:iCs/>
              </w:rPr>
            </m:ctrlPr>
          </m:sSubPr>
          <m:e>
            <m:r>
              <w:rPr>
                <w:rFonts w:ascii="Cambria Math" w:hAnsi="Cambria Math"/>
              </w:rPr>
              <m:t>N</m:t>
            </m:r>
          </m:e>
          <m:sub>
            <m:r>
              <w:rPr>
                <w:rFonts w:ascii="Cambria Math" w:hAnsi="Cambria Math"/>
              </w:rPr>
              <m:t>RB,τ</m:t>
            </m:r>
          </m:sub>
        </m:sSub>
      </m:oMath>
      <w:r w:rsidR="006C1881">
        <w:rPr>
          <w:rFonts w:eastAsiaTheme="minorEastAsia"/>
          <w:iCs/>
        </w:rPr>
        <w:t xml:space="preserve">x1 RE, i.e. </w:t>
      </w:r>
      <w:r w:rsidR="003605C1">
        <w:rPr>
          <w:rFonts w:eastAsiaTheme="minorEastAsia"/>
          <w:iCs/>
        </w:rPr>
        <w:t>this specific OTFS PRB occupies</w:t>
      </w:r>
      <w:r w:rsidR="006C1881">
        <w:rPr>
          <w:rFonts w:eastAsiaTheme="minorEastAsia"/>
          <w:iCs/>
        </w:rPr>
        <w:t xml:space="preserve"> a single Doppler dimension</w:t>
      </w:r>
      <w:r w:rsidR="002377C8">
        <w:rPr>
          <w:rFonts w:eastAsiaTheme="minorEastAsia"/>
          <w:iCs/>
        </w:rPr>
        <w:t>.</w:t>
      </w:r>
    </w:p>
    <w:p w14:paraId="43DF939C" w14:textId="7B3002CD" w:rsidR="006C1881" w:rsidRDefault="00165556" w:rsidP="006C1881">
      <w:r>
        <w:t>D</w:t>
      </w:r>
      <w:r w:rsidR="006C1881">
        <w:t xml:space="preserve">enote the discrete OTFS signal in the delay-Doppler plane by </w:t>
      </w:r>
      <m:oMath>
        <m:r>
          <w:rPr>
            <w:rFonts w:ascii="Cambria Math" w:hAnsi="Cambria Math"/>
          </w:rPr>
          <m:t>x(τ,ν)</m:t>
        </m:r>
      </m:oMath>
      <w:r w:rsidR="006C1881">
        <w:t xml:space="preserve">, which corresponds to the </w:t>
      </w:r>
      <m:oMath>
        <m:sSup>
          <m:sSupPr>
            <m:ctrlPr>
              <w:rPr>
                <w:rFonts w:ascii="Cambria Math" w:hAnsi="Cambria Math"/>
                <w:i/>
              </w:rPr>
            </m:ctrlPr>
          </m:sSupPr>
          <m:e>
            <m:r>
              <w:rPr>
                <w:rFonts w:ascii="Cambria Math" w:hAnsi="Cambria Math"/>
              </w:rPr>
              <m:t>τ</m:t>
            </m:r>
          </m:e>
          <m:sup>
            <m:r>
              <w:rPr>
                <w:rFonts w:ascii="Cambria Math" w:hAnsi="Cambria Math"/>
              </w:rPr>
              <m:t>th</m:t>
            </m:r>
          </m:sup>
        </m:sSup>
      </m:oMath>
      <w:r w:rsidR="006C1881">
        <w:t xml:space="preserve"> delay bin and  </w:t>
      </w:r>
      <m:oMath>
        <m:sSup>
          <m:sSupPr>
            <m:ctrlPr>
              <w:rPr>
                <w:rFonts w:ascii="Cambria Math" w:hAnsi="Cambria Math"/>
                <w:i/>
              </w:rPr>
            </m:ctrlPr>
          </m:sSupPr>
          <m:e>
            <m:r>
              <w:rPr>
                <w:rFonts w:ascii="Cambria Math" w:hAnsi="Cambria Math"/>
              </w:rPr>
              <m:t>ν</m:t>
            </m:r>
          </m:e>
          <m:sup>
            <m:r>
              <w:rPr>
                <w:rFonts w:ascii="Cambria Math" w:hAnsi="Cambria Math"/>
              </w:rPr>
              <m:t>th</m:t>
            </m:r>
          </m:sup>
        </m:sSup>
      </m:oMath>
      <w:r w:rsidR="006C1881">
        <w:t>Doppler bin. After the symplectic transform, the following signal is obtained in the frequency-time plane:</w:t>
      </w:r>
    </w:p>
    <w:p w14:paraId="323C0A84" w14:textId="791583F0" w:rsidR="006C1881" w:rsidRDefault="006C1881" w:rsidP="006C1881">
      <m:oMath>
        <m:r>
          <w:rPr>
            <w:rFonts w:ascii="Cambria Math" w:hAnsi="Cambria Math"/>
          </w:rPr>
          <m:t>X</m:t>
        </m:r>
        <m:d>
          <m:dPr>
            <m:begChr m:val="["/>
            <m:endChr m:val="]"/>
            <m:ctrlPr>
              <w:rPr>
                <w:rFonts w:ascii="Cambria Math" w:hAnsi="Cambria Math"/>
                <w:i/>
              </w:rPr>
            </m:ctrlPr>
          </m:dPr>
          <m:e>
            <m:r>
              <w:rPr>
                <w:rFonts w:ascii="Cambria Math" w:hAnsi="Cambria Math"/>
              </w:rPr>
              <m:t>n,m</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S,τ</m:t>
                </m:r>
              </m:sub>
            </m:sSub>
            <m:sSub>
              <m:sSubPr>
                <m:ctrlPr>
                  <w:rPr>
                    <w:rFonts w:ascii="Cambria Math" w:hAnsi="Cambria Math"/>
                    <w:i/>
                  </w:rPr>
                </m:ctrlPr>
              </m:sSubPr>
              <m:e>
                <m:r>
                  <w:rPr>
                    <w:rFonts w:ascii="Cambria Math" w:hAnsi="Cambria Math"/>
                  </w:rPr>
                  <m:t>N</m:t>
                </m:r>
              </m:e>
              <m:sub>
                <m:r>
                  <w:rPr>
                    <w:rFonts w:ascii="Cambria Math" w:hAnsi="Cambria Math"/>
                  </w:rPr>
                  <m:t>S,ν</m:t>
                </m:r>
              </m:sub>
            </m:sSub>
          </m:den>
        </m:f>
        <m:nary>
          <m:naryPr>
            <m:chr m:val="∑"/>
            <m:limLoc m:val="undOvr"/>
            <m:ctrlPr>
              <w:rPr>
                <w:rFonts w:ascii="Cambria Math" w:hAnsi="Cambria Math"/>
                <w:iCs/>
              </w:rPr>
            </m:ctrlPr>
          </m:naryPr>
          <m:sub>
            <m:r>
              <w:rPr>
                <w:rFonts w:ascii="Cambria Math" w:hAnsi="Cambria Math"/>
              </w:rPr>
              <m:t>k=0</m:t>
            </m:r>
          </m:sub>
          <m:sup>
            <m:sSub>
              <m:sSubPr>
                <m:ctrlPr>
                  <w:rPr>
                    <w:rFonts w:ascii="Cambria Math" w:hAnsi="Cambria Math"/>
                    <w:i/>
                  </w:rPr>
                </m:ctrlPr>
              </m:sSubPr>
              <m:e>
                <m:r>
                  <w:rPr>
                    <w:rFonts w:ascii="Cambria Math" w:hAnsi="Cambria Math"/>
                  </w:rPr>
                  <m:t>N</m:t>
                </m:r>
              </m:e>
              <m:sub>
                <m:r>
                  <w:rPr>
                    <w:rFonts w:ascii="Cambria Math" w:hAnsi="Cambria Math"/>
                  </w:rPr>
                  <m:t>S,ν</m:t>
                </m:r>
              </m:sub>
            </m:sSub>
            <m:r>
              <w:rPr>
                <w:rFonts w:ascii="Cambria Math" w:hAnsi="Cambria Math"/>
              </w:rPr>
              <m:t>-1</m:t>
            </m:r>
          </m:sup>
          <m:e>
            <m:nary>
              <m:naryPr>
                <m:chr m:val="∑"/>
                <m:limLoc m:val="undOvr"/>
                <m:ctrlPr>
                  <w:rPr>
                    <w:rFonts w:ascii="Cambria Math" w:hAnsi="Cambria Math"/>
                    <w:i/>
                    <w:iCs/>
                  </w:rPr>
                </m:ctrlPr>
              </m:naryPr>
              <m:sub>
                <m:r>
                  <w:rPr>
                    <w:rFonts w:ascii="Cambria Math" w:hAnsi="Cambria Math"/>
                  </w:rPr>
                  <m:t>l=0</m:t>
                </m:r>
              </m:sub>
              <m:sup>
                <m:sSub>
                  <m:sSubPr>
                    <m:ctrlPr>
                      <w:rPr>
                        <w:rFonts w:ascii="Cambria Math" w:hAnsi="Cambria Math"/>
                        <w:i/>
                      </w:rPr>
                    </m:ctrlPr>
                  </m:sSubPr>
                  <m:e>
                    <m:r>
                      <w:rPr>
                        <w:rFonts w:ascii="Cambria Math" w:hAnsi="Cambria Math"/>
                      </w:rPr>
                      <m:t>N</m:t>
                    </m:r>
                  </m:e>
                  <m:sub>
                    <m:r>
                      <w:rPr>
                        <w:rFonts w:ascii="Cambria Math" w:hAnsi="Cambria Math"/>
                      </w:rPr>
                      <m:t>S,τ</m:t>
                    </m:r>
                  </m:sub>
                </m:sSub>
                <m:r>
                  <w:rPr>
                    <w:rFonts w:ascii="Cambria Math" w:hAnsi="Cambria Math"/>
                  </w:rPr>
                  <m:t>-1</m:t>
                </m:r>
              </m:sup>
              <m:e>
                <m:r>
                  <w:rPr>
                    <w:rFonts w:ascii="Cambria Math" w:hAnsi="Cambria Math"/>
                  </w:rPr>
                  <m:t>x</m:t>
                </m:r>
                <m:d>
                  <m:dPr>
                    <m:begChr m:val="["/>
                    <m:endChr m:val="]"/>
                    <m:ctrlPr>
                      <w:rPr>
                        <w:rFonts w:ascii="Cambria Math" w:hAnsi="Cambria Math"/>
                        <w:i/>
                      </w:rPr>
                    </m:ctrlPr>
                  </m:dPr>
                  <m:e>
                    <m:r>
                      <w:rPr>
                        <w:rFonts w:ascii="Cambria Math" w:hAnsi="Cambria Math"/>
                      </w:rPr>
                      <m:t>k,l</m:t>
                    </m:r>
                  </m:e>
                </m:d>
              </m:e>
            </m:nary>
          </m:e>
        </m:nary>
        <m:sSup>
          <m:sSupPr>
            <m:ctrlPr>
              <w:rPr>
                <w:rFonts w:ascii="Cambria Math" w:hAnsi="Cambria Math"/>
                <w:iCs/>
              </w:rPr>
            </m:ctrlPr>
          </m:sSupPr>
          <m:e>
            <m:r>
              <w:rPr>
                <w:rFonts w:ascii="Cambria Math" w:hAnsi="Cambria Math"/>
              </w:rPr>
              <m:t>e</m:t>
            </m:r>
            <m:ctrlPr>
              <w:rPr>
                <w:rFonts w:ascii="Cambria Math" w:hAnsi="Cambria Math"/>
              </w:rPr>
            </m:ctrlPr>
          </m:e>
          <m:sup>
            <m:r>
              <w:rPr>
                <w:rFonts w:ascii="Cambria Math" w:hAnsi="Cambria Math"/>
              </w:rPr>
              <m:t>-j2π</m:t>
            </m:r>
            <m:d>
              <m:dPr>
                <m:ctrlPr>
                  <w:rPr>
                    <w:rFonts w:ascii="Cambria Math" w:hAnsi="Cambria Math"/>
                    <w:i/>
                  </w:rPr>
                </m:ctrlPr>
              </m:dPr>
              <m:e>
                <m:f>
                  <m:fPr>
                    <m:ctrlPr>
                      <w:rPr>
                        <w:rFonts w:ascii="Cambria Math" w:hAnsi="Cambria Math"/>
                        <w:i/>
                      </w:rPr>
                    </m:ctrlPr>
                  </m:fPr>
                  <m:num>
                    <m:r>
                      <w:rPr>
                        <w:rFonts w:ascii="Cambria Math" w:hAnsi="Cambria Math"/>
                      </w:rPr>
                      <m:t>ml</m:t>
                    </m:r>
                  </m:num>
                  <m:den>
                    <m:sSub>
                      <m:sSubPr>
                        <m:ctrlPr>
                          <w:rPr>
                            <w:rFonts w:ascii="Cambria Math" w:hAnsi="Cambria Math"/>
                            <w:i/>
                          </w:rPr>
                        </m:ctrlPr>
                      </m:sSubPr>
                      <m:e>
                        <m:r>
                          <w:rPr>
                            <w:rFonts w:ascii="Cambria Math" w:hAnsi="Cambria Math"/>
                          </w:rPr>
                          <m:t>N</m:t>
                        </m:r>
                      </m:e>
                      <m:sub>
                        <m:r>
                          <w:rPr>
                            <w:rFonts w:ascii="Cambria Math" w:hAnsi="Cambria Math"/>
                          </w:rPr>
                          <m:t>S,τ</m:t>
                        </m:r>
                      </m:sub>
                    </m:sSub>
                  </m:den>
                </m:f>
                <m:r>
                  <w:rPr>
                    <w:rFonts w:ascii="Cambria Math" w:hAnsi="Cambria Math"/>
                  </w:rPr>
                  <m:t>-</m:t>
                </m:r>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N</m:t>
                        </m:r>
                      </m:e>
                      <m:sub>
                        <m:r>
                          <w:rPr>
                            <w:rFonts w:ascii="Cambria Math" w:hAnsi="Cambria Math"/>
                          </w:rPr>
                          <m:t>S,ν</m:t>
                        </m:r>
                      </m:sub>
                    </m:sSub>
                  </m:den>
                </m:f>
              </m:e>
            </m:d>
            <m:r>
              <w:rPr>
                <w:rFonts w:ascii="Cambria Math" w:hAnsi="Cambria Math"/>
              </w:rPr>
              <m:t xml:space="preserve"> </m:t>
            </m:r>
          </m:sup>
        </m:sSup>
      </m:oMath>
      <w:r>
        <w:rPr>
          <w:iCs/>
        </w:rPr>
        <w:t xml:space="preserve">   (1)</w:t>
      </w:r>
    </w:p>
    <w:p w14:paraId="4AE7715C" w14:textId="01938F4F" w:rsidR="007C1E1C" w:rsidRDefault="006C1881" w:rsidP="006C1881">
      <w:pPr>
        <w:rPr>
          <w:rFonts w:eastAsiaTheme="minorEastAsia"/>
          <w:iCs/>
        </w:rPr>
      </w:pPr>
      <w:r>
        <w:rPr>
          <w:rFonts w:eastAsiaTheme="minorEastAsia"/>
          <w:iCs/>
        </w:rPr>
        <w:t xml:space="preserve">One fundamental difference with respect to OFDM is that an OTFS PRB </w:t>
      </w:r>
      <w:r w:rsidR="002D3D6D">
        <w:rPr>
          <w:rFonts w:eastAsiaTheme="minorEastAsia"/>
          <w:iCs/>
        </w:rPr>
        <w:t xml:space="preserve">usually </w:t>
      </w:r>
      <w:r>
        <w:rPr>
          <w:rFonts w:eastAsiaTheme="minorEastAsia"/>
          <w:iCs/>
        </w:rPr>
        <w:t>spans a much larger region of the time-frequency plane, i.e. it is spread across</w:t>
      </w:r>
      <w:r w:rsidR="00622B1B">
        <w:rPr>
          <w:rFonts w:eastAsiaTheme="minorEastAsia"/>
          <w:iCs/>
        </w:rPr>
        <w:t xml:space="preserve"> larger parts of</w:t>
      </w:r>
      <w:r>
        <w:rPr>
          <w:rFonts w:eastAsiaTheme="minorEastAsia"/>
          <w:iCs/>
        </w:rPr>
        <w:t xml:space="preserve"> time and frequency</w:t>
      </w:r>
      <w:r w:rsidR="00622B1B">
        <w:rPr>
          <w:rFonts w:eastAsiaTheme="minorEastAsia"/>
          <w:iCs/>
        </w:rPr>
        <w:t xml:space="preserve"> domain</w:t>
      </w:r>
      <w:r>
        <w:rPr>
          <w:rFonts w:eastAsiaTheme="minorEastAsia"/>
          <w:iCs/>
        </w:rPr>
        <w:t xml:space="preserve">. This allows OTFS to effectively capture </w:t>
      </w:r>
      <w:r w:rsidR="00780D29">
        <w:rPr>
          <w:rFonts w:eastAsiaTheme="minorEastAsia"/>
          <w:iCs/>
        </w:rPr>
        <w:t xml:space="preserve">most and sometimes </w:t>
      </w:r>
      <w:r>
        <w:rPr>
          <w:rFonts w:eastAsiaTheme="minorEastAsia"/>
          <w:iCs/>
        </w:rPr>
        <w:t xml:space="preserve">all the diversity in the channel. </w:t>
      </w:r>
      <w:r>
        <w:rPr>
          <w:rFonts w:eastAsiaTheme="minorEastAsia"/>
          <w:iCs/>
        </w:rPr>
        <w:fldChar w:fldCharType="begin"/>
      </w:r>
      <w:r>
        <w:rPr>
          <w:rFonts w:eastAsiaTheme="minorEastAsia"/>
          <w:iCs/>
        </w:rPr>
        <w:instrText xml:space="preserve"> REF _Ref462997057 \h </w:instrText>
      </w:r>
      <w:r>
        <w:rPr>
          <w:rFonts w:eastAsiaTheme="minorEastAsia"/>
          <w:iCs/>
        </w:rPr>
      </w:r>
      <w:r>
        <w:rPr>
          <w:rFonts w:eastAsiaTheme="minorEastAsia"/>
          <w:iCs/>
        </w:rPr>
        <w:fldChar w:fldCharType="separate"/>
      </w:r>
      <w:r>
        <w:t xml:space="preserve">Figure </w:t>
      </w:r>
      <w:r>
        <w:rPr>
          <w:noProof/>
        </w:rPr>
        <w:t>2</w:t>
      </w:r>
      <w:r>
        <w:rPr>
          <w:rFonts w:eastAsiaTheme="minorEastAsia"/>
          <w:iCs/>
        </w:rPr>
        <w:fldChar w:fldCharType="end"/>
      </w:r>
      <w:r>
        <w:rPr>
          <w:rFonts w:eastAsiaTheme="minorEastAsia"/>
          <w:iCs/>
        </w:rPr>
        <w:t xml:space="preserve"> provides an illustration of the corresponding time-frequency footprint of an OTFS PRB, where the OTFS PRB is defined along one Doppler dimension.</w:t>
      </w:r>
    </w:p>
    <w:p w14:paraId="0491E10A" w14:textId="788D895E" w:rsidR="006C1881" w:rsidRDefault="007C1E1C" w:rsidP="00F75E45">
      <w:pPr>
        <w:jc w:val="center"/>
      </w:pPr>
      <w:r w:rsidRPr="007C1E1C">
        <w:rPr>
          <w:noProof/>
        </w:rPr>
        <w:drawing>
          <wp:inline distT="0" distB="0" distL="0" distR="0" wp14:anchorId="366D8C04" wp14:editId="78AC7FB0">
            <wp:extent cx="3816365" cy="23941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35135" cy="2405961"/>
                    </a:xfrm>
                    <a:prstGeom prst="rect">
                      <a:avLst/>
                    </a:prstGeom>
                  </pic:spPr>
                </pic:pic>
              </a:graphicData>
            </a:graphic>
          </wp:inline>
        </w:drawing>
      </w:r>
      <w:r w:rsidR="00C8764C" w:rsidRPr="00C8764C">
        <w:rPr>
          <w:noProof/>
        </w:rPr>
        <w:t xml:space="preserve"> </w:t>
      </w:r>
    </w:p>
    <w:p w14:paraId="6B72F1FB" w14:textId="77777777" w:rsidR="006C1881" w:rsidRDefault="006C1881" w:rsidP="006C1881">
      <w:pPr>
        <w:pStyle w:val="Caption"/>
        <w:jc w:val="center"/>
      </w:pPr>
      <w:bookmarkStart w:id="14" w:name="_Ref462997057"/>
      <w:bookmarkStart w:id="15" w:name="_Ref462997050"/>
      <w:r>
        <w:t xml:space="preserve">Figure </w:t>
      </w:r>
      <w:r w:rsidR="00B03E01">
        <w:fldChar w:fldCharType="begin"/>
      </w:r>
      <w:r w:rsidR="00B03E01">
        <w:instrText xml:space="preserve"> SEQ Figure \* ARABIC </w:instrText>
      </w:r>
      <w:r w:rsidR="00B03E01">
        <w:fldChar w:fldCharType="separate"/>
      </w:r>
      <w:r>
        <w:rPr>
          <w:noProof/>
        </w:rPr>
        <w:t>2</w:t>
      </w:r>
      <w:r w:rsidR="00B03E01">
        <w:rPr>
          <w:noProof/>
        </w:rPr>
        <w:fldChar w:fldCharType="end"/>
      </w:r>
      <w:bookmarkEnd w:id="14"/>
      <w:r>
        <w:t>. Example of time-frequency footprint of an OTFS PRB.</w:t>
      </w:r>
      <w:bookmarkEnd w:id="15"/>
    </w:p>
    <w:p w14:paraId="33BA109D" w14:textId="77777777" w:rsidR="006C1881" w:rsidRDefault="006C1881" w:rsidP="006C1881"/>
    <w:p w14:paraId="041C1634" w14:textId="77777777" w:rsidR="006C1881" w:rsidRDefault="006C1881" w:rsidP="006C1881"/>
    <w:p w14:paraId="5D410BAC" w14:textId="27C13989" w:rsidR="006C1881" w:rsidRPr="00A609FB" w:rsidRDefault="006C1881" w:rsidP="00F75E45">
      <w:pPr>
        <w:pStyle w:val="Heading2"/>
      </w:pPr>
      <w:r>
        <w:t>OTFS Uplink Resource Allocation Scheme</w:t>
      </w:r>
    </w:p>
    <w:p w14:paraId="2369A7CB" w14:textId="2EE2FB97" w:rsidR="006C1881" w:rsidRPr="007B7982" w:rsidRDefault="00F75E45" w:rsidP="00102654">
      <w:pPr>
        <w:rPr>
          <w:noProof/>
          <w:sz w:val="24"/>
          <w:szCs w:val="24"/>
        </w:rPr>
      </w:pPr>
      <w:r w:rsidRPr="00F75E45">
        <w:rPr>
          <w:noProof/>
          <w:szCs w:val="24"/>
        </w:rPr>
        <w:drawing>
          <wp:anchor distT="0" distB="0" distL="114300" distR="114300" simplePos="0" relativeHeight="251659264" behindDoc="0" locked="0" layoutInCell="1" allowOverlap="1" wp14:anchorId="742D7050" wp14:editId="2CE1924D">
            <wp:simplePos x="0" y="0"/>
            <wp:positionH relativeFrom="column">
              <wp:posOffset>1958975</wp:posOffset>
            </wp:positionH>
            <wp:positionV relativeFrom="paragraph">
              <wp:posOffset>239395</wp:posOffset>
            </wp:positionV>
            <wp:extent cx="1602105" cy="177546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2105" cy="17754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C1881" w:rsidRPr="00F75E45">
        <w:rPr>
          <w:szCs w:val="24"/>
        </w:rPr>
        <w:t xml:space="preserve">UEs </w:t>
      </w:r>
      <w:r w:rsidR="00B5465D" w:rsidRPr="00F75E45">
        <w:rPr>
          <w:szCs w:val="24"/>
        </w:rPr>
        <w:t xml:space="preserve">may </w:t>
      </w:r>
      <w:r w:rsidR="006C1881" w:rsidRPr="00F75E45">
        <w:rPr>
          <w:szCs w:val="24"/>
        </w:rPr>
        <w:t>be allocated to disjoint Doppler slices of the delay-Doppler plane.</w:t>
      </w:r>
      <w:r w:rsidR="006C1881" w:rsidRPr="00F75E45">
        <w:rPr>
          <w:noProof/>
          <w:szCs w:val="24"/>
        </w:rPr>
        <w:t xml:space="preserve"> </w:t>
      </w:r>
      <w:r w:rsidR="00783BF0" w:rsidRPr="00F75E45">
        <w:rPr>
          <w:noProof/>
          <w:szCs w:val="24"/>
        </w:rPr>
        <w:t xml:space="preserve">An example is provided in </w:t>
      </w:r>
      <w:r w:rsidR="005805B4" w:rsidRPr="00F75E45">
        <w:rPr>
          <w:noProof/>
          <w:szCs w:val="24"/>
        </w:rPr>
        <w:fldChar w:fldCharType="begin"/>
      </w:r>
      <w:r w:rsidR="005805B4" w:rsidRPr="00F75E45">
        <w:rPr>
          <w:noProof/>
          <w:szCs w:val="24"/>
        </w:rPr>
        <w:instrText xml:space="preserve"> REF _Ref450889441 \h </w:instrText>
      </w:r>
      <w:r>
        <w:rPr>
          <w:noProof/>
          <w:szCs w:val="24"/>
        </w:rPr>
        <w:instrText xml:space="preserve"> \* MERGEFORMAT </w:instrText>
      </w:r>
      <w:r w:rsidR="005805B4" w:rsidRPr="00F75E45">
        <w:rPr>
          <w:noProof/>
          <w:szCs w:val="24"/>
        </w:rPr>
      </w:r>
      <w:r w:rsidR="005805B4" w:rsidRPr="00F75E45">
        <w:rPr>
          <w:noProof/>
          <w:szCs w:val="24"/>
        </w:rPr>
        <w:fldChar w:fldCharType="separate"/>
      </w:r>
      <w:r w:rsidR="005805B4" w:rsidRPr="00F75E45">
        <w:t xml:space="preserve">Figure </w:t>
      </w:r>
      <w:r w:rsidR="005805B4" w:rsidRPr="00F75E45">
        <w:rPr>
          <w:noProof/>
        </w:rPr>
        <w:t>3</w:t>
      </w:r>
      <w:r w:rsidR="005805B4" w:rsidRPr="00F75E45">
        <w:rPr>
          <w:noProof/>
          <w:szCs w:val="24"/>
        </w:rPr>
        <w:fldChar w:fldCharType="end"/>
      </w:r>
      <w:r w:rsidR="005805B4">
        <w:rPr>
          <w:noProof/>
          <w:sz w:val="24"/>
          <w:szCs w:val="24"/>
        </w:rPr>
        <w:t>.</w:t>
      </w:r>
    </w:p>
    <w:p w14:paraId="2756D636" w14:textId="59B95BA5" w:rsidR="006C1881" w:rsidRPr="008E637A" w:rsidRDefault="006C1881" w:rsidP="006C1881">
      <w:pPr>
        <w:pStyle w:val="Caption"/>
        <w:jc w:val="center"/>
      </w:pPr>
      <w:bookmarkStart w:id="16" w:name="_Ref450889441"/>
      <w:r>
        <w:t xml:space="preserve">Figure </w:t>
      </w:r>
      <w:r w:rsidR="00B03E01">
        <w:fldChar w:fldCharType="begin"/>
      </w:r>
      <w:r w:rsidR="00B03E01">
        <w:instrText xml:space="preserve"> SEQ Figure \* ARABIC </w:instrText>
      </w:r>
      <w:r w:rsidR="00B03E01">
        <w:fldChar w:fldCharType="separate"/>
      </w:r>
      <w:r>
        <w:rPr>
          <w:noProof/>
        </w:rPr>
        <w:t>3</w:t>
      </w:r>
      <w:r w:rsidR="00B03E01">
        <w:rPr>
          <w:noProof/>
        </w:rPr>
        <w:fldChar w:fldCharType="end"/>
      </w:r>
      <w:bookmarkEnd w:id="16"/>
      <w:r>
        <w:t xml:space="preserve">: Example of OTFS allocation scheme in Delay Spread and Doppler Domain. </w:t>
      </w:r>
    </w:p>
    <w:p w14:paraId="4964A9B0" w14:textId="0D3AA406" w:rsidR="006C1881" w:rsidRDefault="005769A3" w:rsidP="00102654">
      <w:pPr>
        <w:rPr>
          <w:noProof/>
          <w:sz w:val="24"/>
          <w:szCs w:val="24"/>
        </w:rPr>
      </w:pPr>
      <w:r w:rsidRPr="00F75E45">
        <w:rPr>
          <w:noProof/>
          <w:szCs w:val="24"/>
        </w:rPr>
        <w:drawing>
          <wp:anchor distT="0" distB="0" distL="114300" distR="114300" simplePos="0" relativeHeight="251660288" behindDoc="0" locked="0" layoutInCell="1" allowOverlap="1" wp14:anchorId="79EB147B" wp14:editId="5A2FF11D">
            <wp:simplePos x="0" y="0"/>
            <wp:positionH relativeFrom="margin">
              <wp:posOffset>-210185</wp:posOffset>
            </wp:positionH>
            <wp:positionV relativeFrom="paragraph">
              <wp:posOffset>744220</wp:posOffset>
            </wp:positionV>
            <wp:extent cx="6637020" cy="1729740"/>
            <wp:effectExtent l="0" t="0" r="0" b="381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37020" cy="17297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C1881" w:rsidRPr="00F75E45">
        <w:rPr>
          <w:noProof/>
          <w:szCs w:val="24"/>
        </w:rPr>
        <w:t>To modulate data</w:t>
      </w:r>
      <w:r w:rsidR="00D7787D" w:rsidRPr="00F75E45">
        <w:rPr>
          <w:noProof/>
          <w:szCs w:val="24"/>
        </w:rPr>
        <w:t>,</w:t>
      </w:r>
      <w:r w:rsidR="006C1881" w:rsidRPr="00F75E45">
        <w:rPr>
          <w:noProof/>
          <w:szCs w:val="24"/>
        </w:rPr>
        <w:t xml:space="preserve"> UEs first place a sequence of QAM</w:t>
      </w:r>
      <w:r w:rsidR="001B7D69">
        <w:rPr>
          <w:noProof/>
          <w:szCs w:val="24"/>
        </w:rPr>
        <w:t xml:space="preserve"> </w:t>
      </w:r>
      <w:r w:rsidR="006C1881" w:rsidRPr="00F75E45">
        <w:rPr>
          <w:noProof/>
          <w:szCs w:val="24"/>
        </w:rPr>
        <w:t>s</w:t>
      </w:r>
      <w:r w:rsidR="001B7D69">
        <w:rPr>
          <w:noProof/>
          <w:szCs w:val="24"/>
        </w:rPr>
        <w:t>ymbols</w:t>
      </w:r>
      <w:r w:rsidR="006C1881" w:rsidRPr="00F75E45">
        <w:rPr>
          <w:noProof/>
          <w:szCs w:val="24"/>
        </w:rPr>
        <w:t xml:space="preserve"> on their assigned resource elements, in the region of the delay-Doppler plane corresponding to their PRB allocation. Next, the UEs perform an OTFS tranform to conver</w:t>
      </w:r>
      <w:r w:rsidR="00780D29">
        <w:rPr>
          <w:noProof/>
          <w:szCs w:val="24"/>
        </w:rPr>
        <w:t xml:space="preserve">t their data from delay-Doppler domains </w:t>
      </w:r>
      <w:r w:rsidR="006C1881" w:rsidRPr="00F75E45">
        <w:rPr>
          <w:noProof/>
          <w:szCs w:val="24"/>
        </w:rPr>
        <w:t>to time-frequency</w:t>
      </w:r>
      <w:r w:rsidR="00780D29">
        <w:rPr>
          <w:noProof/>
          <w:szCs w:val="24"/>
        </w:rPr>
        <w:t xml:space="preserve"> domains</w:t>
      </w:r>
      <w:r w:rsidR="006C1881" w:rsidRPr="00F75E45">
        <w:rPr>
          <w:noProof/>
          <w:szCs w:val="24"/>
        </w:rPr>
        <w:t>. Finally, the standard OFDM zero-padded IFFT generates a time series</w:t>
      </w:r>
      <w:r w:rsidR="00773A55">
        <w:rPr>
          <w:noProof/>
          <w:szCs w:val="24"/>
        </w:rPr>
        <w:t>.</w:t>
      </w:r>
      <w:r w:rsidR="0017635E" w:rsidRPr="00F75E45">
        <w:rPr>
          <w:noProof/>
          <w:szCs w:val="24"/>
        </w:rPr>
        <w:t xml:space="preserve"> </w:t>
      </w:r>
      <w:r w:rsidR="00773A55">
        <w:rPr>
          <w:noProof/>
          <w:szCs w:val="24"/>
        </w:rPr>
        <w:t>This process which takes place in the transmitter can be seen</w:t>
      </w:r>
      <w:r w:rsidR="0017635E" w:rsidRPr="00F75E45">
        <w:rPr>
          <w:noProof/>
          <w:szCs w:val="24"/>
        </w:rPr>
        <w:t xml:space="preserve"> in </w:t>
      </w:r>
      <w:r w:rsidR="009F5B17" w:rsidRPr="00F75E45">
        <w:rPr>
          <w:noProof/>
          <w:szCs w:val="24"/>
        </w:rPr>
        <w:fldChar w:fldCharType="begin"/>
      </w:r>
      <w:r w:rsidR="009F5B17" w:rsidRPr="00F75E45">
        <w:rPr>
          <w:noProof/>
          <w:szCs w:val="24"/>
        </w:rPr>
        <w:instrText xml:space="preserve"> REF _Ref463008209 \h </w:instrText>
      </w:r>
      <w:r w:rsidR="00F75E45">
        <w:rPr>
          <w:noProof/>
          <w:szCs w:val="24"/>
        </w:rPr>
        <w:instrText xml:space="preserve"> \* MERGEFORMAT </w:instrText>
      </w:r>
      <w:r w:rsidR="009F5B17" w:rsidRPr="00F75E45">
        <w:rPr>
          <w:noProof/>
          <w:szCs w:val="24"/>
        </w:rPr>
      </w:r>
      <w:r w:rsidR="009F5B17" w:rsidRPr="00F75E45">
        <w:rPr>
          <w:noProof/>
          <w:szCs w:val="24"/>
        </w:rPr>
        <w:fldChar w:fldCharType="separate"/>
      </w:r>
      <w:r w:rsidR="009F5B17" w:rsidRPr="00F75E45">
        <w:t xml:space="preserve">Figure </w:t>
      </w:r>
      <w:r w:rsidR="009F5B17" w:rsidRPr="00F75E45">
        <w:rPr>
          <w:noProof/>
        </w:rPr>
        <w:t>4</w:t>
      </w:r>
      <w:r w:rsidR="009F5B17" w:rsidRPr="00F75E45">
        <w:rPr>
          <w:noProof/>
          <w:szCs w:val="24"/>
        </w:rPr>
        <w:fldChar w:fldCharType="end"/>
      </w:r>
      <w:r w:rsidR="006C1881" w:rsidRPr="007B7982">
        <w:rPr>
          <w:noProof/>
          <w:sz w:val="24"/>
          <w:szCs w:val="24"/>
        </w:rPr>
        <w:t xml:space="preserve">. </w:t>
      </w:r>
    </w:p>
    <w:p w14:paraId="70CE7243" w14:textId="77777777" w:rsidR="005769A3" w:rsidRDefault="005769A3" w:rsidP="005769A3">
      <w:pPr>
        <w:rPr>
          <w:rFonts w:eastAsiaTheme="minorEastAsia"/>
        </w:rPr>
      </w:pPr>
    </w:p>
    <w:p w14:paraId="7C41CB0F" w14:textId="6894065C" w:rsidR="005769A3" w:rsidRPr="005769A3" w:rsidRDefault="005769A3" w:rsidP="005769A3">
      <w:pPr>
        <w:pStyle w:val="Caption"/>
        <w:jc w:val="center"/>
        <w:rPr>
          <w:b w:val="0"/>
          <w:noProof/>
        </w:rPr>
      </w:pPr>
      <w:r w:rsidRPr="005769A3">
        <w:rPr>
          <w:b w:val="0"/>
        </w:rPr>
        <w:t xml:space="preserve">Figure </w:t>
      </w:r>
      <w:r w:rsidRPr="005769A3">
        <w:rPr>
          <w:b w:val="0"/>
        </w:rPr>
        <w:fldChar w:fldCharType="begin"/>
      </w:r>
      <w:r w:rsidRPr="005769A3">
        <w:rPr>
          <w:b w:val="0"/>
        </w:rPr>
        <w:instrText xml:space="preserve"> SEQ Figure \* ARABIC </w:instrText>
      </w:r>
      <w:r w:rsidRPr="005769A3">
        <w:rPr>
          <w:b w:val="0"/>
        </w:rPr>
        <w:fldChar w:fldCharType="separate"/>
      </w:r>
      <w:r w:rsidRPr="005769A3">
        <w:rPr>
          <w:b w:val="0"/>
          <w:noProof/>
        </w:rPr>
        <w:t>4</w:t>
      </w:r>
      <w:r w:rsidRPr="005769A3">
        <w:rPr>
          <w:b w:val="0"/>
          <w:noProof/>
        </w:rPr>
        <w:fldChar w:fldCharType="end"/>
      </w:r>
      <w:r w:rsidRPr="005769A3">
        <w:rPr>
          <w:b w:val="0"/>
        </w:rPr>
        <w:t xml:space="preserve">: OTFS allocation in the Delay Spread and Doppler domain and mapping to time-frequency domain via OTFS transform. </w:t>
      </w:r>
    </w:p>
    <w:p w14:paraId="5188D728" w14:textId="76AE1801" w:rsidR="006C1881" w:rsidRPr="005769A3" w:rsidRDefault="006C1881" w:rsidP="00102654">
      <w:pPr>
        <w:rPr>
          <w:noProof/>
          <w:szCs w:val="24"/>
        </w:rPr>
      </w:pPr>
      <w:r w:rsidRPr="005769A3">
        <w:rPr>
          <w:noProof/>
          <w:szCs w:val="24"/>
        </w:rPr>
        <w:t>The proposed uplink scheme has two key benefits:</w:t>
      </w:r>
    </w:p>
    <w:p w14:paraId="09B2F147" w14:textId="7C2C7EC7" w:rsidR="006C1881" w:rsidRPr="005769A3" w:rsidRDefault="006C1881" w:rsidP="006C1881">
      <w:pPr>
        <w:pStyle w:val="ListParagraph"/>
        <w:numPr>
          <w:ilvl w:val="0"/>
          <w:numId w:val="2"/>
        </w:numPr>
        <w:tabs>
          <w:tab w:val="clear" w:pos="1134"/>
          <w:tab w:val="clear" w:pos="1871"/>
          <w:tab w:val="clear" w:pos="2268"/>
        </w:tabs>
        <w:overflowPunct/>
        <w:autoSpaceDE/>
        <w:autoSpaceDN/>
        <w:adjustRightInd/>
        <w:spacing w:before="0" w:after="160" w:line="259" w:lineRule="auto"/>
        <w:textAlignment w:val="auto"/>
        <w:rPr>
          <w:b/>
          <w:noProof/>
          <w:sz w:val="20"/>
          <w:szCs w:val="24"/>
        </w:rPr>
      </w:pPr>
      <w:r w:rsidRPr="005769A3">
        <w:rPr>
          <w:noProof/>
          <w:sz w:val="20"/>
          <w:szCs w:val="24"/>
        </w:rPr>
        <w:t>For small packets the PAPR of the time series is low (equivalent to SC-FDMA).</w:t>
      </w:r>
    </w:p>
    <w:p w14:paraId="30DED8CE" w14:textId="352882B4" w:rsidR="006C1881" w:rsidRPr="005769A3" w:rsidRDefault="006C1881" w:rsidP="006C1881">
      <w:pPr>
        <w:pStyle w:val="ListParagraph"/>
        <w:numPr>
          <w:ilvl w:val="0"/>
          <w:numId w:val="2"/>
        </w:numPr>
        <w:tabs>
          <w:tab w:val="clear" w:pos="1134"/>
          <w:tab w:val="clear" w:pos="1871"/>
          <w:tab w:val="clear" w:pos="2268"/>
        </w:tabs>
        <w:overflowPunct/>
        <w:autoSpaceDE/>
        <w:autoSpaceDN/>
        <w:adjustRightInd/>
        <w:spacing w:before="0" w:after="160" w:line="259" w:lineRule="auto"/>
        <w:textAlignment w:val="auto"/>
        <w:rPr>
          <w:b/>
          <w:noProof/>
          <w:sz w:val="20"/>
          <w:szCs w:val="24"/>
        </w:rPr>
      </w:pPr>
      <w:r w:rsidRPr="005769A3">
        <w:rPr>
          <w:noProof/>
          <w:sz w:val="20"/>
          <w:szCs w:val="24"/>
        </w:rPr>
        <w:t xml:space="preserve">Packets </w:t>
      </w:r>
      <w:r w:rsidR="00514E2A" w:rsidRPr="005769A3">
        <w:rPr>
          <w:noProof/>
          <w:sz w:val="20"/>
          <w:szCs w:val="24"/>
        </w:rPr>
        <w:t>can be</w:t>
      </w:r>
      <w:r w:rsidRPr="005769A3">
        <w:rPr>
          <w:noProof/>
          <w:sz w:val="20"/>
          <w:szCs w:val="24"/>
        </w:rPr>
        <w:t xml:space="preserve"> spread across all of time and frequency thus achieving the full diversity of the channel</w:t>
      </w:r>
      <w:r w:rsidR="0000459F">
        <w:rPr>
          <w:noProof/>
          <w:sz w:val="20"/>
          <w:szCs w:val="24"/>
        </w:rPr>
        <w:t xml:space="preserve"> yielding in higher reliability and enhanced link margins</w:t>
      </w:r>
      <w:r w:rsidRPr="005769A3">
        <w:rPr>
          <w:noProof/>
          <w:sz w:val="20"/>
          <w:szCs w:val="24"/>
        </w:rPr>
        <w:t>.</w:t>
      </w:r>
    </w:p>
    <w:p w14:paraId="7EE8282D" w14:textId="15F03173" w:rsidR="00D7787D" w:rsidRPr="00D7787D" w:rsidRDefault="006C1881" w:rsidP="005769A3">
      <w:pPr>
        <w:rPr>
          <w:rFonts w:eastAsiaTheme="minorEastAsia"/>
        </w:rPr>
      </w:pPr>
      <w:r w:rsidRPr="005769A3">
        <w:rPr>
          <w:noProof/>
          <w:szCs w:val="24"/>
        </w:rPr>
        <w:t>In the following section we elaborate on these fundamental OTFS advantages.</w:t>
      </w:r>
    </w:p>
    <w:p w14:paraId="0F818B5B" w14:textId="38855828" w:rsidR="006C1881" w:rsidRDefault="00773A55" w:rsidP="006C1881">
      <w:pPr>
        <w:pStyle w:val="Heading3"/>
      </w:pPr>
      <w:r>
        <w:t>3</w:t>
      </w:r>
      <w:r w:rsidR="006C1881">
        <w:t>.1 PAPR For Small Packets</w:t>
      </w:r>
    </w:p>
    <w:p w14:paraId="6909F7F0" w14:textId="484DB4B8" w:rsidR="006C1881" w:rsidRPr="00773A55" w:rsidRDefault="006C1881" w:rsidP="00773A55">
      <w:pPr>
        <w:rPr>
          <w:color w:val="000000" w:themeColor="text1"/>
          <w:szCs w:val="24"/>
        </w:rPr>
      </w:pPr>
      <w:r w:rsidRPr="00773A55">
        <w:rPr>
          <w:color w:val="000000" w:themeColor="text1"/>
          <w:szCs w:val="24"/>
        </w:rPr>
        <w:t xml:space="preserve">We now explain why OTFS has low PAPR for small packets sizes. </w:t>
      </w:r>
    </w:p>
    <w:p w14:paraId="4D39E828" w14:textId="2FF95AEF" w:rsidR="006C1881" w:rsidRPr="00773A55" w:rsidRDefault="006C1881" w:rsidP="006C1881">
      <w:pPr>
        <w:rPr>
          <w:color w:val="000000" w:themeColor="text1"/>
          <w:szCs w:val="24"/>
        </w:rPr>
      </w:pPr>
      <w:r w:rsidRPr="00773A55">
        <w:rPr>
          <w:color w:val="000000" w:themeColor="text1"/>
          <w:szCs w:val="24"/>
        </w:rPr>
        <w:t>Assuming that a UE is allocated the first Doppler bin, then the transmitted OTFS satisfies</w:t>
      </w:r>
    </w:p>
    <w:p w14:paraId="418C3713" w14:textId="41F67937" w:rsidR="006C1881" w:rsidRPr="00773A55" w:rsidRDefault="006C1881" w:rsidP="006C1881">
      <w:pPr>
        <w:rPr>
          <w:color w:val="000000" w:themeColor="text1"/>
          <w:szCs w:val="24"/>
        </w:rPr>
      </w:pPr>
      <m:oMathPara>
        <m:oMath>
          <m:r>
            <w:rPr>
              <w:rFonts w:ascii="Cambria Math" w:hAnsi="Cambria Math"/>
              <w:color w:val="000000" w:themeColor="text1"/>
              <w:szCs w:val="24"/>
            </w:rPr>
            <m:t>x[k,l]=0, ∀ k≠0</m:t>
          </m:r>
        </m:oMath>
      </m:oMathPara>
    </w:p>
    <w:p w14:paraId="3B29A700" w14:textId="77777777" w:rsidR="006C1881" w:rsidRPr="00773A55" w:rsidRDefault="006C1881" w:rsidP="006C1881">
      <w:pPr>
        <w:rPr>
          <w:color w:val="000000" w:themeColor="text1"/>
          <w:szCs w:val="24"/>
        </w:rPr>
      </w:pPr>
      <w:r w:rsidRPr="00773A55">
        <w:rPr>
          <w:color w:val="000000" w:themeColor="text1"/>
          <w:szCs w:val="24"/>
        </w:rPr>
        <w:t xml:space="preserve">As a result, equation (1) simplifies to </w:t>
      </w:r>
    </w:p>
    <w:p w14:paraId="47F86F56" w14:textId="77777777" w:rsidR="006C1881" w:rsidRPr="00773A55" w:rsidRDefault="006C1881" w:rsidP="006C1881">
      <w:pPr>
        <w:rPr>
          <w:color w:val="000000" w:themeColor="text1"/>
          <w:szCs w:val="24"/>
        </w:rPr>
      </w:pPr>
      <m:oMathPara>
        <m:oMath>
          <m:r>
            <w:rPr>
              <w:rFonts w:ascii="Cambria Math" w:hAnsi="Cambria Math"/>
            </w:rPr>
            <m:t>X</m:t>
          </m:r>
          <m:d>
            <m:dPr>
              <m:begChr m:val="["/>
              <m:endChr m:val="]"/>
              <m:ctrlPr>
                <w:rPr>
                  <w:rFonts w:ascii="Cambria Math" w:hAnsi="Cambria Math"/>
                  <w:i/>
                </w:rPr>
              </m:ctrlPr>
            </m:dPr>
            <m:e>
              <m:r>
                <w:rPr>
                  <w:rFonts w:ascii="Cambria Math" w:hAnsi="Cambria Math"/>
                </w:rPr>
                <m:t>n,m</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S,τ</m:t>
                  </m:r>
                </m:sub>
              </m:sSub>
              <m:sSub>
                <m:sSubPr>
                  <m:ctrlPr>
                    <w:rPr>
                      <w:rFonts w:ascii="Cambria Math" w:hAnsi="Cambria Math"/>
                      <w:i/>
                    </w:rPr>
                  </m:ctrlPr>
                </m:sSubPr>
                <m:e>
                  <m:r>
                    <w:rPr>
                      <w:rFonts w:ascii="Cambria Math" w:hAnsi="Cambria Math"/>
                    </w:rPr>
                    <m:t>N</m:t>
                  </m:r>
                </m:e>
                <m:sub>
                  <m:r>
                    <w:rPr>
                      <w:rFonts w:ascii="Cambria Math" w:hAnsi="Cambria Math"/>
                    </w:rPr>
                    <m:t>S,ν</m:t>
                  </m:r>
                </m:sub>
              </m:sSub>
            </m:den>
          </m:f>
          <m:nary>
            <m:naryPr>
              <m:chr m:val="∑"/>
              <m:limLoc m:val="undOvr"/>
              <m:ctrlPr>
                <w:rPr>
                  <w:rFonts w:ascii="Cambria Math" w:hAnsi="Cambria Math"/>
                  <w:i/>
                </w:rPr>
              </m:ctrlPr>
            </m:naryPr>
            <m:sub>
              <m:r>
                <w:rPr>
                  <w:rFonts w:ascii="Cambria Math" w:hAnsi="Cambria Math"/>
                </w:rPr>
                <m:t>l=0</m:t>
              </m:r>
            </m:sub>
            <m:sup>
              <m:sSub>
                <m:sSubPr>
                  <m:ctrlPr>
                    <w:rPr>
                      <w:rFonts w:ascii="Cambria Math" w:hAnsi="Cambria Math"/>
                      <w:i/>
                    </w:rPr>
                  </m:ctrlPr>
                </m:sSubPr>
                <m:e>
                  <m:r>
                    <w:rPr>
                      <w:rFonts w:ascii="Cambria Math" w:hAnsi="Cambria Math"/>
                    </w:rPr>
                    <m:t>N</m:t>
                  </m:r>
                </m:e>
                <m:sub>
                  <m:r>
                    <w:rPr>
                      <w:rFonts w:ascii="Cambria Math" w:hAnsi="Cambria Math"/>
                    </w:rPr>
                    <m:t>S,τ</m:t>
                  </m:r>
                </m:sub>
              </m:sSub>
              <m:r>
                <w:rPr>
                  <w:rFonts w:ascii="Cambria Math" w:hAnsi="Cambria Math"/>
                </w:rPr>
                <m:t>-1</m:t>
              </m:r>
            </m:sup>
            <m:e>
              <m:r>
                <w:rPr>
                  <w:rFonts w:ascii="Cambria Math" w:hAnsi="Cambria Math"/>
                </w:rPr>
                <m:t>x</m:t>
              </m:r>
              <m:d>
                <m:dPr>
                  <m:begChr m:val="["/>
                  <m:endChr m:val="]"/>
                  <m:ctrlPr>
                    <w:rPr>
                      <w:rFonts w:ascii="Cambria Math" w:hAnsi="Cambria Math"/>
                      <w:i/>
                    </w:rPr>
                  </m:ctrlPr>
                </m:dPr>
                <m:e>
                  <m:r>
                    <w:rPr>
                      <w:rFonts w:ascii="Cambria Math" w:hAnsi="Cambria Math"/>
                    </w:rPr>
                    <m:t>0,l</m:t>
                  </m:r>
                </m:e>
              </m:d>
            </m:e>
          </m:nary>
          <m:sSup>
            <m:sSupPr>
              <m:ctrlPr>
                <w:rPr>
                  <w:rFonts w:ascii="Cambria Math" w:hAnsi="Cambria Math"/>
                  <w:iCs/>
                </w:rPr>
              </m:ctrlPr>
            </m:sSupPr>
            <m:e>
              <m:r>
                <w:rPr>
                  <w:rFonts w:ascii="Cambria Math" w:hAnsi="Cambria Math"/>
                </w:rPr>
                <m:t>e</m:t>
              </m:r>
              <m:ctrlPr>
                <w:rPr>
                  <w:rFonts w:ascii="Cambria Math" w:hAnsi="Cambria Math"/>
                </w:rPr>
              </m:ctrlPr>
            </m:e>
            <m:sup>
              <m:r>
                <w:rPr>
                  <w:rFonts w:ascii="Cambria Math" w:hAnsi="Cambria Math"/>
                </w:rPr>
                <m:t>-j2π</m:t>
              </m:r>
              <m:d>
                <m:dPr>
                  <m:ctrlPr>
                    <w:rPr>
                      <w:rFonts w:ascii="Cambria Math" w:hAnsi="Cambria Math"/>
                      <w:i/>
                    </w:rPr>
                  </m:ctrlPr>
                </m:dPr>
                <m:e>
                  <m:f>
                    <m:fPr>
                      <m:ctrlPr>
                        <w:rPr>
                          <w:rFonts w:ascii="Cambria Math" w:hAnsi="Cambria Math"/>
                          <w:i/>
                        </w:rPr>
                      </m:ctrlPr>
                    </m:fPr>
                    <m:num>
                      <m:r>
                        <w:rPr>
                          <w:rFonts w:ascii="Cambria Math" w:hAnsi="Cambria Math"/>
                        </w:rPr>
                        <m:t>ml</m:t>
                      </m:r>
                    </m:num>
                    <m:den>
                      <m:sSub>
                        <m:sSubPr>
                          <m:ctrlPr>
                            <w:rPr>
                              <w:rFonts w:ascii="Cambria Math" w:hAnsi="Cambria Math"/>
                              <w:i/>
                            </w:rPr>
                          </m:ctrlPr>
                        </m:sSubPr>
                        <m:e>
                          <m:r>
                            <w:rPr>
                              <w:rFonts w:ascii="Cambria Math" w:hAnsi="Cambria Math"/>
                            </w:rPr>
                            <m:t>N</m:t>
                          </m:r>
                        </m:e>
                        <m:sub>
                          <m:r>
                            <w:rPr>
                              <w:rFonts w:ascii="Cambria Math" w:hAnsi="Cambria Math"/>
                            </w:rPr>
                            <m:t>S,τ</m:t>
                          </m:r>
                        </m:sub>
                      </m:sSub>
                    </m:den>
                  </m:f>
                </m:e>
              </m:d>
              <m:r>
                <w:rPr>
                  <w:rFonts w:ascii="Cambria Math" w:hAnsi="Cambria Math"/>
                </w:rPr>
                <m:t xml:space="preserve"> </m:t>
              </m:r>
            </m:sup>
          </m:sSup>
        </m:oMath>
      </m:oMathPara>
    </w:p>
    <w:p w14:paraId="007FDE11" w14:textId="1FE18785" w:rsidR="006C1881" w:rsidRDefault="006C1881" w:rsidP="00102654">
      <w:pPr>
        <w:rPr>
          <w:color w:val="000000" w:themeColor="text1"/>
          <w:sz w:val="24"/>
          <w:szCs w:val="24"/>
        </w:rPr>
      </w:pPr>
      <w:r w:rsidRPr="00102654">
        <w:rPr>
          <w:color w:val="000000" w:themeColor="text1"/>
          <w:szCs w:val="24"/>
        </w:rPr>
        <w:t xml:space="preserve">Therefore, for any OFDM symbol </w:t>
      </w:r>
      <w:r w:rsidRPr="00102654">
        <w:rPr>
          <w:i/>
          <w:color w:val="000000" w:themeColor="text1"/>
          <w:szCs w:val="24"/>
        </w:rPr>
        <w:t>n</w:t>
      </w:r>
      <w:r w:rsidRPr="00102654">
        <w:rPr>
          <w:color w:val="000000" w:themeColor="text1"/>
          <w:szCs w:val="24"/>
        </w:rPr>
        <w:t xml:space="preserve"> within the TTI, the signal in the frequency domain is the result of applying a DFT to the delay domain symbols, which is equivalent to the operation done by SC-FDMA. As a result, for symbol </w:t>
      </w:r>
      <w:r w:rsidRPr="00102654">
        <w:rPr>
          <w:i/>
          <w:color w:val="000000" w:themeColor="text1"/>
          <w:szCs w:val="24"/>
        </w:rPr>
        <w:t>n</w:t>
      </w:r>
      <w:r w:rsidRPr="00102654">
        <w:rPr>
          <w:color w:val="000000" w:themeColor="text1"/>
          <w:szCs w:val="24"/>
        </w:rPr>
        <w:t>, the OTFS waveform is equivalent to a DFT-spread waveform (i.e. SC-FDMA), multiplied by a constant phase, which for this example is 0. Therefore, in terms of PAPR, OTFS also enjoys the benefits observed in SC-FDMA.</w:t>
      </w:r>
    </w:p>
    <w:p w14:paraId="41A106D6" w14:textId="3B899AA5" w:rsidR="006C1881" w:rsidRPr="008E637A" w:rsidRDefault="006C1881" w:rsidP="006C1881">
      <w:pPr>
        <w:pStyle w:val="Heading3"/>
      </w:pPr>
      <w:r>
        <w:tab/>
      </w:r>
      <w:r w:rsidR="00102654">
        <w:t>3</w:t>
      </w:r>
      <w:r>
        <w:t>.2 Frequency Diversity</w:t>
      </w:r>
    </w:p>
    <w:p w14:paraId="59901469" w14:textId="76833FCB" w:rsidR="006C1881" w:rsidRPr="00102654" w:rsidRDefault="006C1881" w:rsidP="00102654">
      <w:pPr>
        <w:rPr>
          <w:rFonts w:eastAsiaTheme="minorEastAsia"/>
          <w:color w:val="000000" w:themeColor="text1"/>
          <w:szCs w:val="24"/>
        </w:rPr>
      </w:pPr>
      <w:r w:rsidRPr="00102654">
        <w:rPr>
          <w:rFonts w:eastAsiaTheme="minorEastAsia"/>
          <w:color w:val="000000" w:themeColor="text1"/>
          <w:szCs w:val="24"/>
        </w:rPr>
        <w:t xml:space="preserve">The OTFS modulation </w:t>
      </w:r>
      <w:r w:rsidR="00DC79A6" w:rsidRPr="00102654">
        <w:rPr>
          <w:rFonts w:eastAsiaTheme="minorEastAsia"/>
          <w:color w:val="000000" w:themeColor="text1"/>
          <w:szCs w:val="24"/>
        </w:rPr>
        <w:t xml:space="preserve">can </w:t>
      </w:r>
      <w:r w:rsidRPr="00102654">
        <w:rPr>
          <w:rFonts w:eastAsiaTheme="minorEastAsia"/>
          <w:color w:val="000000" w:themeColor="text1"/>
          <w:szCs w:val="24"/>
        </w:rPr>
        <w:t xml:space="preserve">spread each QAM symbol </w:t>
      </w:r>
      <w:r w:rsidR="00DC79A6" w:rsidRPr="00102654">
        <w:rPr>
          <w:rFonts w:eastAsiaTheme="minorEastAsia"/>
          <w:color w:val="000000" w:themeColor="text1"/>
          <w:szCs w:val="24"/>
        </w:rPr>
        <w:t>into different</w:t>
      </w:r>
      <w:r w:rsidRPr="00102654">
        <w:rPr>
          <w:rFonts w:eastAsiaTheme="minorEastAsia"/>
          <w:color w:val="000000" w:themeColor="text1"/>
          <w:szCs w:val="24"/>
        </w:rPr>
        <w:t xml:space="preserve"> bandwidth</w:t>
      </w:r>
      <w:r w:rsidR="00DC79A6" w:rsidRPr="00102654">
        <w:rPr>
          <w:rFonts w:eastAsiaTheme="minorEastAsia"/>
          <w:color w:val="000000" w:themeColor="text1"/>
          <w:szCs w:val="24"/>
        </w:rPr>
        <w:t>s</w:t>
      </w:r>
      <w:r w:rsidR="003319C2">
        <w:rPr>
          <w:rFonts w:eastAsiaTheme="minorEastAsia"/>
          <w:color w:val="000000" w:themeColor="text1"/>
          <w:szCs w:val="24"/>
        </w:rPr>
        <w:t xml:space="preserve"> (even over the full bandwidth)</w:t>
      </w:r>
      <w:r w:rsidRPr="00102654">
        <w:rPr>
          <w:rFonts w:eastAsiaTheme="minorEastAsia"/>
          <w:color w:val="000000" w:themeColor="text1"/>
          <w:szCs w:val="24"/>
        </w:rPr>
        <w:t xml:space="preserve"> and TTI duration</w:t>
      </w:r>
      <w:r w:rsidR="00DC79A6" w:rsidRPr="00102654">
        <w:rPr>
          <w:rFonts w:eastAsiaTheme="minorEastAsia"/>
          <w:color w:val="000000" w:themeColor="text1"/>
          <w:szCs w:val="24"/>
        </w:rPr>
        <w:t>s. Typically this spreading in frequency and time is larger than the one of OFDM</w:t>
      </w:r>
      <w:r w:rsidRPr="00102654">
        <w:rPr>
          <w:rFonts w:eastAsiaTheme="minorEastAsia"/>
          <w:color w:val="000000" w:themeColor="text1"/>
          <w:szCs w:val="24"/>
        </w:rPr>
        <w:t xml:space="preserve"> and so </w:t>
      </w:r>
      <w:r w:rsidR="00EE5365">
        <w:rPr>
          <w:rFonts w:eastAsiaTheme="minorEastAsia"/>
          <w:color w:val="000000" w:themeColor="text1"/>
          <w:szCs w:val="24"/>
        </w:rPr>
        <w:t xml:space="preserve">often </w:t>
      </w:r>
      <w:r w:rsidRPr="00102654">
        <w:rPr>
          <w:rFonts w:eastAsiaTheme="minorEastAsia"/>
          <w:color w:val="000000" w:themeColor="text1"/>
          <w:szCs w:val="24"/>
        </w:rPr>
        <w:t>achieves the full diversity of the channel. In contrast, for small packets</w:t>
      </w:r>
      <w:r w:rsidR="00EE5365">
        <w:rPr>
          <w:rFonts w:eastAsiaTheme="minorEastAsia"/>
          <w:color w:val="000000" w:themeColor="text1"/>
          <w:szCs w:val="24"/>
        </w:rPr>
        <w:t>,</w:t>
      </w:r>
      <w:r w:rsidRPr="00102654">
        <w:rPr>
          <w:rFonts w:eastAsiaTheme="minorEastAsia"/>
          <w:color w:val="000000" w:themeColor="text1"/>
          <w:szCs w:val="24"/>
        </w:rPr>
        <w:t xml:space="preserve"> SC-FDMA only transmits over a narrow bandwidth. </w:t>
      </w:r>
      <w:r w:rsidR="00B064C3" w:rsidRPr="00102654">
        <w:rPr>
          <w:rFonts w:eastAsiaTheme="minorEastAsia"/>
          <w:color w:val="000000" w:themeColor="text1"/>
          <w:szCs w:val="24"/>
        </w:rPr>
        <w:t xml:space="preserve">The concept is illustrated in </w:t>
      </w:r>
      <w:r w:rsidR="00D9429E" w:rsidRPr="00102654">
        <w:rPr>
          <w:rFonts w:eastAsiaTheme="minorEastAsia"/>
          <w:color w:val="000000" w:themeColor="text1"/>
          <w:szCs w:val="24"/>
        </w:rPr>
        <w:t>Figure 5</w:t>
      </w:r>
      <w:r w:rsidR="00B064C3" w:rsidRPr="00102654">
        <w:rPr>
          <w:rFonts w:eastAsiaTheme="minorEastAsia"/>
          <w:color w:val="000000" w:themeColor="text1"/>
          <w:szCs w:val="24"/>
        </w:rPr>
        <w:t>.</w:t>
      </w:r>
    </w:p>
    <w:p w14:paraId="076BE3BA" w14:textId="77777777" w:rsidR="006C1881" w:rsidRDefault="006C1881" w:rsidP="006C1881">
      <w:pPr>
        <w:ind w:left="360"/>
        <w:rPr>
          <w:rFonts w:eastAsiaTheme="minorEastAsia"/>
          <w:color w:val="000000" w:themeColor="text1"/>
          <w:sz w:val="24"/>
          <w:szCs w:val="24"/>
        </w:rPr>
      </w:pPr>
      <w:r>
        <w:rPr>
          <w:rFonts w:eastAsiaTheme="minorEastAsia"/>
          <w:noProof/>
          <w:color w:val="000000" w:themeColor="text1"/>
          <w:sz w:val="24"/>
          <w:szCs w:val="24"/>
        </w:rPr>
        <w:drawing>
          <wp:inline distT="0" distB="0" distL="0" distR="0" wp14:anchorId="12D230E0" wp14:editId="24A9BCDF">
            <wp:extent cx="5935980" cy="3619500"/>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5980" cy="3619500"/>
                    </a:xfrm>
                    <a:prstGeom prst="rect">
                      <a:avLst/>
                    </a:prstGeom>
                    <a:noFill/>
                    <a:ln>
                      <a:noFill/>
                    </a:ln>
                  </pic:spPr>
                </pic:pic>
              </a:graphicData>
            </a:graphic>
          </wp:inline>
        </w:drawing>
      </w:r>
    </w:p>
    <w:p w14:paraId="58378585" w14:textId="7221263C" w:rsidR="006C1881" w:rsidRDefault="006C1881" w:rsidP="00102654">
      <w:pPr>
        <w:pStyle w:val="Caption"/>
        <w:jc w:val="center"/>
        <w:rPr>
          <w:rFonts w:eastAsiaTheme="minorEastAsia"/>
        </w:rPr>
      </w:pPr>
      <w:r>
        <w:t xml:space="preserve">Figure </w:t>
      </w:r>
      <w:r w:rsidR="00772641">
        <w:fldChar w:fldCharType="begin"/>
      </w:r>
      <w:r w:rsidR="00772641">
        <w:rPr>
          <w:b w:val="0"/>
        </w:rPr>
        <w:instrText xml:space="preserve"> SEQ Figure \* ARABIC </w:instrText>
      </w:r>
      <w:r w:rsidR="00772641">
        <w:fldChar w:fldCharType="separate"/>
      </w:r>
      <w:r w:rsidR="00D9429E">
        <w:rPr>
          <w:b w:val="0"/>
          <w:noProof/>
        </w:rPr>
        <w:t>5</w:t>
      </w:r>
      <w:r w:rsidR="00772641">
        <w:rPr>
          <w:noProof/>
        </w:rPr>
        <w:fldChar w:fldCharType="end"/>
      </w:r>
      <w:r>
        <w:t>: OTFS allocation scheme in Uplink.</w:t>
      </w:r>
    </w:p>
    <w:p w14:paraId="43138A6E" w14:textId="2408A221" w:rsidR="003677F5" w:rsidRPr="00102654" w:rsidRDefault="006C1881" w:rsidP="00102654">
      <w:pPr>
        <w:rPr>
          <w:rFonts w:eastAsiaTheme="minorEastAsia"/>
          <w:color w:val="000000" w:themeColor="text1"/>
          <w:szCs w:val="24"/>
        </w:rPr>
      </w:pPr>
      <w:r w:rsidRPr="00102654">
        <w:rPr>
          <w:rFonts w:eastAsiaTheme="minorEastAsia"/>
          <w:color w:val="000000" w:themeColor="text1"/>
          <w:szCs w:val="24"/>
        </w:rPr>
        <w:t xml:space="preserve">SC-FDMA cannot spread their allocation across frequency without </w:t>
      </w:r>
      <w:r w:rsidR="00E769D1" w:rsidRPr="00102654">
        <w:rPr>
          <w:rFonts w:eastAsiaTheme="minorEastAsia"/>
          <w:color w:val="000000" w:themeColor="text1"/>
          <w:szCs w:val="24"/>
        </w:rPr>
        <w:t xml:space="preserve">always </w:t>
      </w:r>
      <w:r w:rsidRPr="00102654">
        <w:rPr>
          <w:rFonts w:eastAsiaTheme="minorEastAsia"/>
          <w:color w:val="000000" w:themeColor="text1"/>
          <w:szCs w:val="24"/>
        </w:rPr>
        <w:t>paying a penalty in pilot overhead (for the case of evenly spreading data across frequency) or increasing PAPR (for the case of unevenly spreading across frequency)</w:t>
      </w:r>
      <w:r w:rsidR="00EE5365">
        <w:rPr>
          <w:rFonts w:eastAsiaTheme="minorEastAsia"/>
          <w:color w:val="000000" w:themeColor="text1"/>
          <w:szCs w:val="24"/>
        </w:rPr>
        <w:t>, whilst these effects can eventually be avoided by OTFS</w:t>
      </w:r>
      <w:r w:rsidRPr="00102654">
        <w:rPr>
          <w:rFonts w:eastAsiaTheme="minorEastAsia"/>
          <w:color w:val="000000" w:themeColor="text1"/>
          <w:szCs w:val="24"/>
        </w:rPr>
        <w:t>.</w:t>
      </w:r>
      <w:r w:rsidR="00D327B2" w:rsidRPr="00102654">
        <w:rPr>
          <w:rFonts w:eastAsiaTheme="minorEastAsia"/>
          <w:color w:val="000000" w:themeColor="text1"/>
          <w:szCs w:val="24"/>
        </w:rPr>
        <w:t xml:space="preserve"> </w:t>
      </w:r>
    </w:p>
    <w:p w14:paraId="4BFC103B" w14:textId="77777777" w:rsidR="00564554" w:rsidRDefault="00102654" w:rsidP="00EE5365">
      <w:pPr>
        <w:rPr>
          <w:rFonts w:eastAsiaTheme="minorEastAsia"/>
          <w:color w:val="000000" w:themeColor="text1"/>
          <w:szCs w:val="24"/>
        </w:rPr>
      </w:pPr>
      <w:r>
        <w:rPr>
          <w:rFonts w:eastAsiaTheme="minorEastAsia"/>
          <w:color w:val="000000" w:themeColor="text1"/>
          <w:szCs w:val="24"/>
        </w:rPr>
        <w:t xml:space="preserve">More details on OTFS technology can be found in </w:t>
      </w:r>
      <w:r>
        <w:rPr>
          <w:rFonts w:eastAsiaTheme="minorEastAsia"/>
          <w:color w:val="000000" w:themeColor="text1"/>
          <w:szCs w:val="24"/>
        </w:rPr>
        <w:fldChar w:fldCharType="begin"/>
      </w:r>
      <w:r>
        <w:rPr>
          <w:rFonts w:eastAsiaTheme="minorEastAsia"/>
          <w:color w:val="000000" w:themeColor="text1"/>
          <w:szCs w:val="24"/>
        </w:rPr>
        <w:instrText xml:space="preserve"> REF _Ref463026065 \n \h </w:instrText>
      </w:r>
      <w:r>
        <w:rPr>
          <w:rFonts w:eastAsiaTheme="minorEastAsia"/>
          <w:color w:val="000000" w:themeColor="text1"/>
          <w:szCs w:val="24"/>
        </w:rPr>
      </w:r>
      <w:r>
        <w:rPr>
          <w:rFonts w:eastAsiaTheme="minorEastAsia"/>
          <w:color w:val="000000" w:themeColor="text1"/>
          <w:szCs w:val="24"/>
        </w:rPr>
        <w:fldChar w:fldCharType="separate"/>
      </w:r>
      <w:r>
        <w:rPr>
          <w:rFonts w:eastAsiaTheme="minorEastAsia"/>
          <w:color w:val="000000" w:themeColor="text1"/>
          <w:szCs w:val="24"/>
        </w:rPr>
        <w:t>[9]</w:t>
      </w:r>
      <w:r>
        <w:rPr>
          <w:rFonts w:eastAsiaTheme="minorEastAsia"/>
          <w:color w:val="000000" w:themeColor="text1"/>
          <w:szCs w:val="24"/>
        </w:rPr>
        <w:fldChar w:fldCharType="end"/>
      </w:r>
      <w:r>
        <w:rPr>
          <w:rFonts w:eastAsiaTheme="minorEastAsia"/>
          <w:color w:val="000000" w:themeColor="text1"/>
          <w:szCs w:val="24"/>
        </w:rPr>
        <w:t xml:space="preserve">, </w:t>
      </w:r>
      <w:r>
        <w:rPr>
          <w:rFonts w:eastAsiaTheme="minorEastAsia"/>
          <w:color w:val="000000" w:themeColor="text1"/>
          <w:szCs w:val="24"/>
        </w:rPr>
        <w:fldChar w:fldCharType="begin"/>
      </w:r>
      <w:r>
        <w:rPr>
          <w:rFonts w:eastAsiaTheme="minorEastAsia"/>
          <w:color w:val="000000" w:themeColor="text1"/>
          <w:szCs w:val="24"/>
        </w:rPr>
        <w:instrText xml:space="preserve"> REF _Ref463026068 \n \h </w:instrText>
      </w:r>
      <w:r>
        <w:rPr>
          <w:rFonts w:eastAsiaTheme="minorEastAsia"/>
          <w:color w:val="000000" w:themeColor="text1"/>
          <w:szCs w:val="24"/>
        </w:rPr>
      </w:r>
      <w:r>
        <w:rPr>
          <w:rFonts w:eastAsiaTheme="minorEastAsia"/>
          <w:color w:val="000000" w:themeColor="text1"/>
          <w:szCs w:val="24"/>
        </w:rPr>
        <w:fldChar w:fldCharType="separate"/>
      </w:r>
      <w:r>
        <w:rPr>
          <w:rFonts w:eastAsiaTheme="minorEastAsia"/>
          <w:color w:val="000000" w:themeColor="text1"/>
          <w:szCs w:val="24"/>
        </w:rPr>
        <w:t>[10]</w:t>
      </w:r>
      <w:r>
        <w:rPr>
          <w:rFonts w:eastAsiaTheme="minorEastAsia"/>
          <w:color w:val="000000" w:themeColor="text1"/>
          <w:szCs w:val="24"/>
        </w:rPr>
        <w:fldChar w:fldCharType="end"/>
      </w:r>
      <w:r>
        <w:rPr>
          <w:rFonts w:eastAsiaTheme="minorEastAsia"/>
          <w:color w:val="000000" w:themeColor="text1"/>
          <w:szCs w:val="24"/>
        </w:rPr>
        <w:t xml:space="preserve">. </w:t>
      </w:r>
      <w:r w:rsidR="003319C2">
        <w:rPr>
          <w:rFonts w:eastAsiaTheme="minorEastAsia"/>
          <w:color w:val="000000" w:themeColor="text1"/>
          <w:szCs w:val="24"/>
        </w:rPr>
        <w:t>OTFS performance superiority</w:t>
      </w:r>
      <w:r w:rsidR="00D327B2" w:rsidRPr="00102654">
        <w:rPr>
          <w:rFonts w:eastAsiaTheme="minorEastAsia"/>
          <w:color w:val="000000" w:themeColor="text1"/>
          <w:szCs w:val="24"/>
        </w:rPr>
        <w:t xml:space="preserve"> </w:t>
      </w:r>
      <w:r w:rsidR="003319C2">
        <w:rPr>
          <w:rFonts w:eastAsiaTheme="minorEastAsia"/>
          <w:color w:val="000000" w:themeColor="text1"/>
          <w:szCs w:val="24"/>
        </w:rPr>
        <w:t>over</w:t>
      </w:r>
      <w:r w:rsidR="00310809" w:rsidRPr="00102654">
        <w:rPr>
          <w:rFonts w:eastAsiaTheme="minorEastAsia"/>
          <w:color w:val="000000" w:themeColor="text1"/>
          <w:szCs w:val="24"/>
        </w:rPr>
        <w:t xml:space="preserve"> OFDM has been shown in </w:t>
      </w:r>
      <w:r w:rsidR="008376E1" w:rsidRPr="00102654">
        <w:rPr>
          <w:rFonts w:eastAsiaTheme="minorEastAsia"/>
          <w:color w:val="000000" w:themeColor="text1"/>
          <w:szCs w:val="24"/>
        </w:rPr>
        <w:fldChar w:fldCharType="begin"/>
      </w:r>
      <w:r w:rsidR="008376E1" w:rsidRPr="00102654">
        <w:rPr>
          <w:rFonts w:eastAsiaTheme="minorEastAsia"/>
          <w:color w:val="000000" w:themeColor="text1"/>
          <w:szCs w:val="24"/>
        </w:rPr>
        <w:instrText xml:space="preserve"> REF _Ref463017908 \n \h </w:instrText>
      </w:r>
      <w:r>
        <w:rPr>
          <w:rFonts w:eastAsiaTheme="minorEastAsia"/>
          <w:color w:val="000000" w:themeColor="text1"/>
          <w:szCs w:val="24"/>
        </w:rPr>
        <w:instrText xml:space="preserve"> \* MERGEFORMAT </w:instrText>
      </w:r>
      <w:r w:rsidR="008376E1" w:rsidRPr="00102654">
        <w:rPr>
          <w:rFonts w:eastAsiaTheme="minorEastAsia"/>
          <w:color w:val="000000" w:themeColor="text1"/>
          <w:szCs w:val="24"/>
        </w:rPr>
      </w:r>
      <w:r w:rsidR="008376E1" w:rsidRPr="00102654">
        <w:rPr>
          <w:rFonts w:eastAsiaTheme="minorEastAsia"/>
          <w:color w:val="000000" w:themeColor="text1"/>
          <w:szCs w:val="24"/>
        </w:rPr>
        <w:fldChar w:fldCharType="separate"/>
      </w:r>
      <w:r>
        <w:rPr>
          <w:rFonts w:eastAsiaTheme="minorEastAsia"/>
          <w:color w:val="000000" w:themeColor="text1"/>
          <w:szCs w:val="24"/>
        </w:rPr>
        <w:t>[11]</w:t>
      </w:r>
      <w:r w:rsidR="008376E1" w:rsidRPr="00102654">
        <w:rPr>
          <w:rFonts w:eastAsiaTheme="minorEastAsia"/>
          <w:color w:val="000000" w:themeColor="text1"/>
          <w:szCs w:val="24"/>
        </w:rPr>
        <w:fldChar w:fldCharType="end"/>
      </w:r>
      <w:r w:rsidR="008376E1" w:rsidRPr="00102654">
        <w:rPr>
          <w:rFonts w:eastAsiaTheme="minorEastAsia"/>
          <w:color w:val="000000" w:themeColor="text1"/>
          <w:szCs w:val="24"/>
        </w:rPr>
        <w:t xml:space="preserve">, </w:t>
      </w:r>
      <w:r w:rsidR="008376E1" w:rsidRPr="00102654">
        <w:rPr>
          <w:rFonts w:eastAsiaTheme="minorEastAsia"/>
          <w:color w:val="000000" w:themeColor="text1"/>
          <w:szCs w:val="24"/>
        </w:rPr>
        <w:fldChar w:fldCharType="begin"/>
      </w:r>
      <w:r w:rsidR="008376E1" w:rsidRPr="00102654">
        <w:rPr>
          <w:rFonts w:eastAsiaTheme="minorEastAsia"/>
          <w:color w:val="000000" w:themeColor="text1"/>
          <w:szCs w:val="24"/>
        </w:rPr>
        <w:instrText xml:space="preserve"> REF _Ref463017912 \n \h </w:instrText>
      </w:r>
      <w:r>
        <w:rPr>
          <w:rFonts w:eastAsiaTheme="minorEastAsia"/>
          <w:color w:val="000000" w:themeColor="text1"/>
          <w:szCs w:val="24"/>
        </w:rPr>
        <w:instrText xml:space="preserve"> \* MERGEFORMAT </w:instrText>
      </w:r>
      <w:r w:rsidR="008376E1" w:rsidRPr="00102654">
        <w:rPr>
          <w:rFonts w:eastAsiaTheme="minorEastAsia"/>
          <w:color w:val="000000" w:themeColor="text1"/>
          <w:szCs w:val="24"/>
        </w:rPr>
      </w:r>
      <w:r w:rsidR="008376E1" w:rsidRPr="00102654">
        <w:rPr>
          <w:rFonts w:eastAsiaTheme="minorEastAsia"/>
          <w:color w:val="000000" w:themeColor="text1"/>
          <w:szCs w:val="24"/>
        </w:rPr>
        <w:fldChar w:fldCharType="separate"/>
      </w:r>
      <w:r>
        <w:rPr>
          <w:rFonts w:eastAsiaTheme="minorEastAsia"/>
          <w:color w:val="000000" w:themeColor="text1"/>
          <w:szCs w:val="24"/>
        </w:rPr>
        <w:t>[12]</w:t>
      </w:r>
      <w:r w:rsidR="008376E1" w:rsidRPr="00102654">
        <w:rPr>
          <w:rFonts w:eastAsiaTheme="minorEastAsia"/>
          <w:color w:val="000000" w:themeColor="text1"/>
          <w:szCs w:val="24"/>
        </w:rPr>
        <w:fldChar w:fldCharType="end"/>
      </w:r>
      <w:r w:rsidR="00564554">
        <w:rPr>
          <w:rFonts w:eastAsiaTheme="minorEastAsia"/>
          <w:color w:val="000000" w:themeColor="text1"/>
          <w:szCs w:val="24"/>
        </w:rPr>
        <w:t>, while</w:t>
      </w:r>
      <w:r w:rsidR="004D50E2">
        <w:rPr>
          <w:rFonts w:eastAsiaTheme="minorEastAsia"/>
          <w:color w:val="000000" w:themeColor="text1"/>
          <w:szCs w:val="24"/>
        </w:rPr>
        <w:t xml:space="preserve"> for small packets</w:t>
      </w:r>
      <w:r w:rsidR="006D7D23" w:rsidRPr="00102654">
        <w:rPr>
          <w:rFonts w:eastAsiaTheme="minorEastAsia"/>
          <w:color w:val="000000" w:themeColor="text1"/>
          <w:szCs w:val="24"/>
        </w:rPr>
        <w:t xml:space="preserve"> OTFS </w:t>
      </w:r>
      <w:r w:rsidR="004D50E2">
        <w:rPr>
          <w:rFonts w:eastAsiaTheme="minorEastAsia"/>
          <w:color w:val="000000" w:themeColor="text1"/>
          <w:szCs w:val="24"/>
        </w:rPr>
        <w:t>and</w:t>
      </w:r>
      <w:r w:rsidR="006D7D23" w:rsidRPr="00102654">
        <w:rPr>
          <w:rFonts w:eastAsiaTheme="minorEastAsia"/>
          <w:color w:val="000000" w:themeColor="text1"/>
          <w:szCs w:val="24"/>
        </w:rPr>
        <w:t xml:space="preserve"> SC-FDMA</w:t>
      </w:r>
      <w:r w:rsidR="004D50E2">
        <w:rPr>
          <w:rFonts w:eastAsiaTheme="minorEastAsia"/>
          <w:color w:val="000000" w:themeColor="text1"/>
          <w:szCs w:val="24"/>
        </w:rPr>
        <w:t xml:space="preserve"> have </w:t>
      </w:r>
      <w:r w:rsidR="00564554">
        <w:rPr>
          <w:rFonts w:eastAsiaTheme="minorEastAsia"/>
          <w:color w:val="000000" w:themeColor="text1"/>
          <w:szCs w:val="24"/>
        </w:rPr>
        <w:t>equal</w:t>
      </w:r>
      <w:r w:rsidR="004D50E2">
        <w:rPr>
          <w:rFonts w:eastAsiaTheme="minorEastAsia"/>
          <w:color w:val="000000" w:themeColor="text1"/>
          <w:szCs w:val="24"/>
        </w:rPr>
        <w:t xml:space="preserve"> PAPR</w:t>
      </w:r>
      <w:r w:rsidR="00564554">
        <w:rPr>
          <w:rFonts w:eastAsiaTheme="minorEastAsia"/>
          <w:color w:val="000000" w:themeColor="text1"/>
          <w:szCs w:val="24"/>
        </w:rPr>
        <w:t>.</w:t>
      </w:r>
    </w:p>
    <w:p w14:paraId="4BAF13D8" w14:textId="65D63172" w:rsidR="006C1881" w:rsidRPr="00564554" w:rsidRDefault="001A23BA" w:rsidP="00EE5365">
      <w:pPr>
        <w:rPr>
          <w:rFonts w:eastAsiaTheme="minorEastAsia"/>
          <w:color w:val="000000" w:themeColor="text1"/>
          <w:szCs w:val="24"/>
        </w:rPr>
      </w:pPr>
      <w:r>
        <w:rPr>
          <w:rFonts w:eastAsiaTheme="minorEastAsia"/>
          <w:color w:val="000000" w:themeColor="text1"/>
          <w:szCs w:val="24"/>
        </w:rPr>
        <w:t>W</w:t>
      </w:r>
      <w:r w:rsidR="006D7D23" w:rsidRPr="00102654">
        <w:rPr>
          <w:rFonts w:eastAsiaTheme="minorEastAsia"/>
          <w:color w:val="000000" w:themeColor="text1"/>
          <w:szCs w:val="24"/>
        </w:rPr>
        <w:t xml:space="preserve">hile both OTFS and SC-FDMA keep the PAPR at </w:t>
      </w:r>
      <w:r>
        <w:rPr>
          <w:rFonts w:eastAsiaTheme="minorEastAsia"/>
          <w:color w:val="000000" w:themeColor="text1"/>
          <w:szCs w:val="24"/>
        </w:rPr>
        <w:t>low levels, OTFS inherent frequency and time</w:t>
      </w:r>
      <w:r w:rsidR="006D7D23" w:rsidRPr="00102654">
        <w:rPr>
          <w:rFonts w:eastAsiaTheme="minorEastAsia"/>
          <w:color w:val="000000" w:themeColor="text1"/>
          <w:szCs w:val="24"/>
        </w:rPr>
        <w:t xml:space="preserve"> diversity </w:t>
      </w:r>
      <w:r w:rsidR="009E6AC8">
        <w:rPr>
          <w:rFonts w:eastAsiaTheme="minorEastAsia"/>
          <w:color w:val="000000" w:themeColor="text1"/>
          <w:szCs w:val="24"/>
        </w:rPr>
        <w:t xml:space="preserve">extraction and the </w:t>
      </w:r>
      <w:r w:rsidR="00706F88">
        <w:rPr>
          <w:rFonts w:eastAsiaTheme="minorEastAsia"/>
          <w:color w:val="000000" w:themeColor="text1"/>
          <w:szCs w:val="24"/>
        </w:rPr>
        <w:t>lack of such in SC-FDMA translates to performance superiority expressed as enhanced link budget and higher reliability of payload delivery</w:t>
      </w:r>
      <w:r w:rsidR="006D7D23" w:rsidRPr="00102654">
        <w:rPr>
          <w:rFonts w:eastAsiaTheme="minorEastAsia"/>
          <w:color w:val="000000" w:themeColor="text1"/>
          <w:szCs w:val="24"/>
        </w:rPr>
        <w:t>.</w:t>
      </w:r>
    </w:p>
    <w:p w14:paraId="169914D2" w14:textId="77777777" w:rsidR="006C1881" w:rsidRDefault="006C1881" w:rsidP="006C1881">
      <w:pPr>
        <w:pStyle w:val="Heading2"/>
      </w:pPr>
      <w:r>
        <w:t>Conclusion</w:t>
      </w:r>
    </w:p>
    <w:p w14:paraId="389A8C36" w14:textId="29CAFA9E" w:rsidR="006C1881" w:rsidRDefault="006C1881" w:rsidP="006C1881">
      <w:r>
        <w:t xml:space="preserve">The </w:t>
      </w:r>
      <w:r w:rsidR="00D036AA">
        <w:t>analysis</w:t>
      </w:r>
      <w:r>
        <w:t xml:space="preserve"> in this </w:t>
      </w:r>
      <w:r w:rsidR="003452FB">
        <w:t xml:space="preserve">contribution </w:t>
      </w:r>
      <w:r>
        <w:t>indicate</w:t>
      </w:r>
      <w:r w:rsidR="003452FB">
        <w:t>s</w:t>
      </w:r>
      <w:r>
        <w:t xml:space="preserve"> that OTFS </w:t>
      </w:r>
      <w:r w:rsidR="001677B7">
        <w:t>out</w:t>
      </w:r>
      <w:r>
        <w:t xml:space="preserve">performs SC-FDMA for </w:t>
      </w:r>
      <w:r w:rsidR="001677B7">
        <w:t>small to medium packet size communication, offering enhanced link margins and higher reliability of payload delivery</w:t>
      </w:r>
      <w:r>
        <w:t>.</w:t>
      </w:r>
      <w:r w:rsidR="006D7D23">
        <w:t xml:space="preserve"> OTFS exhibits low PAPR values for small number of PRBs</w:t>
      </w:r>
      <w:r w:rsidR="0020610D">
        <w:t xml:space="preserve"> that match the PAPR values of SC-FDMA</w:t>
      </w:r>
      <w:r w:rsidR="006B1B66">
        <w:t xml:space="preserve">, </w:t>
      </w:r>
      <w:r w:rsidR="006D7D23">
        <w:t xml:space="preserve">while OTFS </w:t>
      </w:r>
      <w:r w:rsidR="00E96209">
        <w:t>benefits from higher diversity gains compared to</w:t>
      </w:r>
      <w:bookmarkStart w:id="17" w:name="_GoBack"/>
      <w:bookmarkEnd w:id="17"/>
      <w:r w:rsidR="006D7D23">
        <w:t xml:space="preserve"> SC-FDMA. </w:t>
      </w:r>
    </w:p>
    <w:p w14:paraId="1C01B3C2" w14:textId="77777777" w:rsidR="006C1881" w:rsidRPr="009177A5" w:rsidRDefault="006C1881" w:rsidP="006C1881">
      <w:pPr>
        <w:pStyle w:val="Heading2"/>
      </w:pPr>
      <w:r w:rsidRPr="009177A5">
        <w:t>References</w:t>
      </w:r>
    </w:p>
    <w:p w14:paraId="7AE15E3D" w14:textId="49A00275" w:rsidR="006C1881" w:rsidRPr="006D7D23" w:rsidRDefault="006C1881" w:rsidP="006D7D23">
      <w:pPr>
        <w:numPr>
          <w:ilvl w:val="0"/>
          <w:numId w:val="3"/>
        </w:numPr>
        <w:spacing w:before="100" w:beforeAutospacing="1" w:after="100" w:afterAutospacing="1"/>
        <w:ind w:left="562" w:hanging="562"/>
        <w:rPr>
          <w:szCs w:val="22"/>
        </w:rPr>
      </w:pPr>
      <w:bookmarkStart w:id="18" w:name="_Ref430766234"/>
      <w:bookmarkStart w:id="19" w:name="_Ref450836942"/>
      <w:bookmarkStart w:id="20" w:name="_Ref444545979"/>
      <w:bookmarkStart w:id="21" w:name="_Ref446072562"/>
      <w:r>
        <w:rPr>
          <w:szCs w:val="22"/>
        </w:rPr>
        <w:t>RP-160671, “New SID Proposal: Study on New Radio Access Technology</w:t>
      </w:r>
      <w:bookmarkEnd w:id="18"/>
      <w:r>
        <w:rPr>
          <w:szCs w:val="22"/>
        </w:rPr>
        <w:t>”</w:t>
      </w:r>
      <w:r w:rsidR="00512E8F">
        <w:rPr>
          <w:lang w:eastAsia="zh-CN"/>
        </w:rPr>
        <w:t>, August 2016</w:t>
      </w:r>
      <w:r>
        <w:rPr>
          <w:bCs/>
          <w:lang w:val="en-GB"/>
        </w:rPr>
        <w:t xml:space="preserve">. </w:t>
      </w:r>
      <w:r w:rsidRPr="008516E8">
        <w:rPr>
          <w:bCs/>
        </w:rPr>
        <w:t xml:space="preserve"> </w:t>
      </w:r>
      <w:bookmarkStart w:id="22" w:name="_Ref450837675"/>
      <w:bookmarkEnd w:id="19"/>
    </w:p>
    <w:p w14:paraId="32E93156" w14:textId="46B73D8F" w:rsidR="006C1881" w:rsidRPr="00815AB1" w:rsidRDefault="006C1881" w:rsidP="006C1881">
      <w:pPr>
        <w:numPr>
          <w:ilvl w:val="0"/>
          <w:numId w:val="3"/>
        </w:numPr>
        <w:spacing w:before="100" w:beforeAutospacing="1" w:after="100" w:afterAutospacing="1"/>
        <w:ind w:left="562" w:hanging="562"/>
        <w:rPr>
          <w:szCs w:val="22"/>
        </w:rPr>
      </w:pPr>
      <w:r>
        <w:t>R1-166353, “Waveform Proposal for &gt; 6 GHz</w:t>
      </w:r>
      <w:r w:rsidRPr="00B75FD8">
        <w:t>,”</w:t>
      </w:r>
      <w:r w:rsidRPr="00815AB1">
        <w:rPr>
          <w:rFonts w:ascii="Arial" w:hAnsi="Arial" w:cs="Arial"/>
          <w:bCs/>
        </w:rPr>
        <w:t xml:space="preserve"> </w:t>
      </w:r>
      <w:bookmarkEnd w:id="22"/>
      <w:r>
        <w:rPr>
          <w:lang w:eastAsia="zh-CN"/>
        </w:rPr>
        <w:t>Qualcomm, TSG RAN WG1 #86, Gothenburg, Sweden</w:t>
      </w:r>
      <w:r w:rsidR="00512E8F">
        <w:rPr>
          <w:lang w:eastAsia="zh-CN"/>
        </w:rPr>
        <w:t>, August 2016</w:t>
      </w:r>
      <w:r>
        <w:rPr>
          <w:lang w:eastAsia="zh-CN"/>
        </w:rPr>
        <w:t>.</w:t>
      </w:r>
      <w:bookmarkStart w:id="23" w:name="_Ref447216267"/>
      <w:bookmarkEnd w:id="20"/>
      <w:bookmarkEnd w:id="21"/>
    </w:p>
    <w:p w14:paraId="37168EBA" w14:textId="440674AF" w:rsidR="006C1881" w:rsidRPr="00AC0E21" w:rsidRDefault="006C1881" w:rsidP="006C1881">
      <w:pPr>
        <w:numPr>
          <w:ilvl w:val="0"/>
          <w:numId w:val="3"/>
        </w:numPr>
        <w:spacing w:before="100" w:beforeAutospacing="1" w:after="100" w:afterAutospacing="1"/>
        <w:ind w:left="562" w:hanging="562"/>
        <w:rPr>
          <w:szCs w:val="22"/>
        </w:rPr>
      </w:pPr>
      <w:r>
        <w:rPr>
          <w:lang w:eastAsia="zh-CN"/>
        </w:rPr>
        <w:t>R1-166354, “OFDM and SC-FDMA For Uplink Support,”</w:t>
      </w:r>
      <w:bookmarkEnd w:id="0"/>
      <w:bookmarkEnd w:id="1"/>
      <w:bookmarkEnd w:id="2"/>
      <w:bookmarkEnd w:id="3"/>
      <w:bookmarkEnd w:id="4"/>
      <w:bookmarkEnd w:id="5"/>
      <w:bookmarkEnd w:id="6"/>
      <w:bookmarkEnd w:id="7"/>
      <w:bookmarkEnd w:id="8"/>
      <w:bookmarkEnd w:id="9"/>
      <w:bookmarkEnd w:id="10"/>
      <w:bookmarkEnd w:id="11"/>
      <w:bookmarkEnd w:id="23"/>
      <w:r w:rsidRPr="00AC0E21">
        <w:rPr>
          <w:lang w:eastAsia="zh-CN"/>
        </w:rPr>
        <w:t xml:space="preserve"> </w:t>
      </w:r>
      <w:r>
        <w:rPr>
          <w:lang w:eastAsia="zh-CN"/>
        </w:rPr>
        <w:t>Qualcomm, TSG RAN WG1 #86, Gothenburg, Sweden</w:t>
      </w:r>
      <w:r w:rsidR="00512E8F">
        <w:rPr>
          <w:lang w:eastAsia="zh-CN"/>
        </w:rPr>
        <w:t>, August 2016</w:t>
      </w:r>
      <w:r>
        <w:rPr>
          <w:lang w:eastAsia="zh-CN"/>
        </w:rPr>
        <w:t>.</w:t>
      </w:r>
    </w:p>
    <w:p w14:paraId="776E5148" w14:textId="0DB06B06" w:rsidR="006C1881" w:rsidRPr="00D23ECE" w:rsidRDefault="006C1881" w:rsidP="006C1881">
      <w:pPr>
        <w:numPr>
          <w:ilvl w:val="0"/>
          <w:numId w:val="3"/>
        </w:numPr>
        <w:spacing w:before="100" w:beforeAutospacing="1" w:after="100" w:afterAutospacing="1"/>
        <w:ind w:left="562" w:hanging="562"/>
        <w:rPr>
          <w:szCs w:val="22"/>
        </w:rPr>
      </w:pPr>
      <w:r>
        <w:rPr>
          <w:lang w:eastAsia="zh-CN"/>
        </w:rPr>
        <w:t>R1-166356, “Simulation Assumptions for OFDM and SC-FDMA Performance Comparison,”</w:t>
      </w:r>
      <w:r w:rsidRPr="00AC0E21">
        <w:rPr>
          <w:lang w:eastAsia="zh-CN"/>
        </w:rPr>
        <w:t xml:space="preserve"> </w:t>
      </w:r>
      <w:r>
        <w:rPr>
          <w:lang w:eastAsia="zh-CN"/>
        </w:rPr>
        <w:t>Qualcomm, TSG RAN WG1 #86, Gothenburg, Sweden</w:t>
      </w:r>
      <w:r w:rsidR="00512E8F">
        <w:rPr>
          <w:lang w:eastAsia="zh-CN"/>
        </w:rPr>
        <w:t>, August 2016</w:t>
      </w:r>
      <w:r>
        <w:rPr>
          <w:lang w:eastAsia="zh-CN"/>
        </w:rPr>
        <w:t>.</w:t>
      </w:r>
    </w:p>
    <w:p w14:paraId="5E311D95" w14:textId="1F795B4D" w:rsidR="006C1881" w:rsidRPr="00E34FE3" w:rsidRDefault="006C1881" w:rsidP="006C1881">
      <w:pPr>
        <w:numPr>
          <w:ilvl w:val="0"/>
          <w:numId w:val="3"/>
        </w:numPr>
        <w:spacing w:before="100" w:beforeAutospacing="1" w:after="100" w:afterAutospacing="1"/>
        <w:ind w:left="562" w:hanging="562"/>
        <w:rPr>
          <w:szCs w:val="22"/>
        </w:rPr>
      </w:pPr>
      <w:r>
        <w:rPr>
          <w:lang w:eastAsia="zh-CN"/>
        </w:rPr>
        <w:t>R1-166358, “Evaluation on PAPR-CM for UL Multiple Access Schemes,”</w:t>
      </w:r>
      <w:r w:rsidRPr="00AC0E21">
        <w:rPr>
          <w:lang w:eastAsia="zh-CN"/>
        </w:rPr>
        <w:t xml:space="preserve"> </w:t>
      </w:r>
      <w:r>
        <w:rPr>
          <w:lang w:eastAsia="zh-CN"/>
        </w:rPr>
        <w:t>MediaTek, TSG RAN WG1 #86, Gothenburg, Sweden</w:t>
      </w:r>
      <w:r w:rsidR="00512E8F">
        <w:rPr>
          <w:lang w:eastAsia="zh-CN"/>
        </w:rPr>
        <w:t>, August 2016</w:t>
      </w:r>
      <w:r>
        <w:rPr>
          <w:lang w:eastAsia="zh-CN"/>
        </w:rPr>
        <w:t>.</w:t>
      </w:r>
    </w:p>
    <w:p w14:paraId="1D48C2A9" w14:textId="2CD038A1" w:rsidR="006C1881" w:rsidRPr="00FF4548" w:rsidRDefault="006C1881" w:rsidP="006C1881">
      <w:pPr>
        <w:numPr>
          <w:ilvl w:val="0"/>
          <w:numId w:val="3"/>
        </w:numPr>
        <w:spacing w:before="100" w:beforeAutospacing="1" w:after="100" w:afterAutospacing="1"/>
        <w:ind w:left="562" w:hanging="562"/>
        <w:rPr>
          <w:szCs w:val="22"/>
        </w:rPr>
      </w:pPr>
      <w:bookmarkStart w:id="24" w:name="_Ref462988425"/>
      <w:r>
        <w:rPr>
          <w:lang w:eastAsia="zh-CN"/>
        </w:rPr>
        <w:t>R1-167795, “Potential for System Level Gains with Low PAPR Waveforms,”</w:t>
      </w:r>
      <w:r w:rsidRPr="00AC0E21">
        <w:rPr>
          <w:lang w:eastAsia="zh-CN"/>
        </w:rPr>
        <w:t xml:space="preserve"> </w:t>
      </w:r>
      <w:r>
        <w:rPr>
          <w:lang w:eastAsia="zh-CN"/>
        </w:rPr>
        <w:t>Nokia, Alcatel-Lucent Bell Shanghai Lab, TSG RAN WG1 #86, Gothenburg, Sweden</w:t>
      </w:r>
      <w:r w:rsidR="00512E8F">
        <w:rPr>
          <w:lang w:eastAsia="zh-CN"/>
        </w:rPr>
        <w:t>, August 2016</w:t>
      </w:r>
      <w:r>
        <w:rPr>
          <w:lang w:eastAsia="zh-CN"/>
        </w:rPr>
        <w:t>.</w:t>
      </w:r>
      <w:bookmarkEnd w:id="24"/>
    </w:p>
    <w:p w14:paraId="0B608598" w14:textId="15381713" w:rsidR="006C1881" w:rsidRPr="004C7486" w:rsidRDefault="006C1881" w:rsidP="006C1881">
      <w:pPr>
        <w:numPr>
          <w:ilvl w:val="0"/>
          <w:numId w:val="3"/>
        </w:numPr>
        <w:spacing w:before="100" w:beforeAutospacing="1" w:after="100" w:afterAutospacing="1"/>
        <w:ind w:left="562" w:hanging="562"/>
        <w:rPr>
          <w:szCs w:val="22"/>
        </w:rPr>
      </w:pPr>
      <w:bookmarkStart w:id="25" w:name="_Ref463005796"/>
      <w:r>
        <w:rPr>
          <w:lang w:eastAsia="zh-CN"/>
        </w:rPr>
        <w:t>R1-168051, “WF on Low PAPR Techniques for NR Uplink,”</w:t>
      </w:r>
      <w:r w:rsidRPr="00AC0E21">
        <w:rPr>
          <w:lang w:eastAsia="zh-CN"/>
        </w:rPr>
        <w:t xml:space="preserve"> </w:t>
      </w:r>
      <w:r>
        <w:rPr>
          <w:lang w:eastAsia="zh-CN"/>
        </w:rPr>
        <w:t>QCOM, Samsun</w:t>
      </w:r>
      <w:r w:rsidR="00674D50">
        <w:rPr>
          <w:lang w:eastAsia="zh-CN"/>
        </w:rPr>
        <w:t>g</w:t>
      </w:r>
      <w:r>
        <w:rPr>
          <w:lang w:eastAsia="zh-CN"/>
        </w:rPr>
        <w:t>, MediaTek, Interdigital, Idaho National Lab, IITH, CEWIT, Reliance, Tejas Networks, Oppo, Vodafone, Straightpath, LG Electronics, National Taiwan University, AT&amp;T, Verizon Wireless, National Instruments, Spreadtrum</w:t>
      </w:r>
      <w:r w:rsidR="00674D50">
        <w:rPr>
          <w:lang w:eastAsia="zh-CN"/>
        </w:rPr>
        <w:t>,</w:t>
      </w:r>
      <w:r>
        <w:rPr>
          <w:lang w:eastAsia="zh-CN"/>
        </w:rPr>
        <w:t xml:space="preserve"> TSG RAN WG1 #86, Gothenburg, Sweden</w:t>
      </w:r>
      <w:r w:rsidR="00512E8F">
        <w:rPr>
          <w:lang w:eastAsia="zh-CN"/>
        </w:rPr>
        <w:t>, August 2016</w:t>
      </w:r>
      <w:r>
        <w:rPr>
          <w:lang w:eastAsia="zh-CN"/>
        </w:rPr>
        <w:t>.</w:t>
      </w:r>
      <w:bookmarkEnd w:id="25"/>
    </w:p>
    <w:p w14:paraId="3D0D9BAD" w14:textId="4C4D5ACB" w:rsidR="00512E8F" w:rsidRPr="004C7486" w:rsidRDefault="00674D50" w:rsidP="004C7486">
      <w:pPr>
        <w:numPr>
          <w:ilvl w:val="0"/>
          <w:numId w:val="3"/>
        </w:numPr>
        <w:spacing w:before="100" w:beforeAutospacing="1" w:after="100" w:afterAutospacing="1"/>
        <w:ind w:left="562" w:hanging="562"/>
        <w:rPr>
          <w:szCs w:val="22"/>
        </w:rPr>
      </w:pPr>
      <w:bookmarkStart w:id="26" w:name="_Ref463005814"/>
      <w:r>
        <w:rPr>
          <w:lang w:eastAsia="zh-CN"/>
        </w:rPr>
        <w:t>R1-168422, “WF on Low PAPR/CM Techniques,” Ericsson, Huawei, Panasonic, Vodafone, Qualcomm, ZTE, ZTE Microelectronics, TSG RAN WG1 #86, Gothenburg, Sweden</w:t>
      </w:r>
      <w:r w:rsidR="00512E8F">
        <w:rPr>
          <w:lang w:eastAsia="zh-CN"/>
        </w:rPr>
        <w:t>, August 2016</w:t>
      </w:r>
      <w:r>
        <w:rPr>
          <w:lang w:eastAsia="zh-CN"/>
        </w:rPr>
        <w:t>.</w:t>
      </w:r>
      <w:bookmarkEnd w:id="26"/>
    </w:p>
    <w:p w14:paraId="23877CEA" w14:textId="23C1CB7D" w:rsidR="00512E8F" w:rsidRPr="004C7486" w:rsidRDefault="00512E8F" w:rsidP="004C7486">
      <w:pPr>
        <w:numPr>
          <w:ilvl w:val="0"/>
          <w:numId w:val="3"/>
        </w:numPr>
        <w:spacing w:before="100" w:beforeAutospacing="1" w:after="100" w:afterAutospacing="1"/>
        <w:ind w:left="562" w:hanging="562"/>
        <w:rPr>
          <w:szCs w:val="22"/>
        </w:rPr>
      </w:pPr>
      <w:bookmarkStart w:id="27" w:name="_Ref463026065"/>
      <w:r>
        <w:rPr>
          <w:lang w:eastAsia="zh-CN"/>
        </w:rPr>
        <w:t>R1-162929, “Overview of OTFS Waveform for Next Generation RAT,” Cohere Technologies, TSG RAN WG1 #84bis, Busan, S. Korea, April 2016.</w:t>
      </w:r>
      <w:bookmarkEnd w:id="27"/>
    </w:p>
    <w:p w14:paraId="4335F599" w14:textId="0C1993F2" w:rsidR="00512E8F" w:rsidRPr="00512E8F" w:rsidRDefault="00512E8F" w:rsidP="004C7486">
      <w:pPr>
        <w:numPr>
          <w:ilvl w:val="0"/>
          <w:numId w:val="3"/>
        </w:numPr>
        <w:spacing w:before="100" w:beforeAutospacing="1" w:after="100" w:afterAutospacing="1"/>
        <w:ind w:left="562" w:hanging="562"/>
        <w:rPr>
          <w:szCs w:val="22"/>
        </w:rPr>
      </w:pPr>
      <w:bookmarkStart w:id="28" w:name="_Ref463026068"/>
      <w:r>
        <w:t>R1-163619, “</w:t>
      </w:r>
      <w:r w:rsidRPr="00B75FD8">
        <w:t>OTFS Modulation Waveform and Reference Signals for New RAT,”</w:t>
      </w:r>
      <w:r w:rsidRPr="00512E8F">
        <w:rPr>
          <w:rFonts w:ascii="Arial" w:hAnsi="Arial" w:cs="Arial"/>
          <w:bCs/>
        </w:rPr>
        <w:t xml:space="preserve"> </w:t>
      </w:r>
      <w:r>
        <w:rPr>
          <w:lang w:eastAsia="zh-CN"/>
        </w:rPr>
        <w:t>Cohere Technologies, TSG RAN WG1 #84bis, Busan, S. Korea, April 2016.</w:t>
      </w:r>
      <w:bookmarkEnd w:id="28"/>
    </w:p>
    <w:p w14:paraId="367A3628" w14:textId="4B193C13" w:rsidR="00310809" w:rsidRPr="004C7486" w:rsidRDefault="00F77C92" w:rsidP="006C1881">
      <w:pPr>
        <w:numPr>
          <w:ilvl w:val="0"/>
          <w:numId w:val="3"/>
        </w:numPr>
        <w:spacing w:before="100" w:beforeAutospacing="1" w:after="100" w:afterAutospacing="1"/>
        <w:ind w:left="562" w:hanging="562"/>
        <w:rPr>
          <w:szCs w:val="22"/>
        </w:rPr>
      </w:pPr>
      <w:bookmarkStart w:id="29" w:name="_Ref463017908"/>
      <w:r>
        <w:rPr>
          <w:lang w:eastAsia="zh-CN"/>
        </w:rPr>
        <w:t>R1-</w:t>
      </w:r>
      <w:r w:rsidR="00276F81">
        <w:rPr>
          <w:lang w:eastAsia="zh-CN"/>
        </w:rPr>
        <w:t>167594</w:t>
      </w:r>
      <w:r>
        <w:rPr>
          <w:lang w:eastAsia="zh-CN"/>
        </w:rPr>
        <w:t>, “</w:t>
      </w:r>
      <w:r w:rsidR="00276F81">
        <w:rPr>
          <w:lang w:eastAsia="zh-CN"/>
        </w:rPr>
        <w:t>Performance Evaluation of</w:t>
      </w:r>
      <w:r w:rsidR="001C29A8">
        <w:rPr>
          <w:lang w:eastAsia="zh-CN"/>
        </w:rPr>
        <w:t xml:space="preserve"> OTFS in Multi-user Scenario</w:t>
      </w:r>
      <w:r>
        <w:rPr>
          <w:lang w:eastAsia="zh-CN"/>
        </w:rPr>
        <w:t xml:space="preserve">,” </w:t>
      </w:r>
      <w:r w:rsidR="00276F81">
        <w:rPr>
          <w:lang w:eastAsia="zh-CN"/>
        </w:rPr>
        <w:t>Cohere Technologies</w:t>
      </w:r>
      <w:r>
        <w:rPr>
          <w:lang w:eastAsia="zh-CN"/>
        </w:rPr>
        <w:t>, TSG RAN WG1 #86, Gothenburg, Sweden</w:t>
      </w:r>
      <w:r w:rsidR="00512E8F">
        <w:rPr>
          <w:lang w:eastAsia="zh-CN"/>
        </w:rPr>
        <w:t>, August 2016</w:t>
      </w:r>
      <w:r>
        <w:rPr>
          <w:lang w:eastAsia="zh-CN"/>
        </w:rPr>
        <w:t>.</w:t>
      </w:r>
      <w:bookmarkEnd w:id="29"/>
    </w:p>
    <w:p w14:paraId="552E99C1" w14:textId="22227899" w:rsidR="00F77C92" w:rsidRPr="00752A3D" w:rsidRDefault="00276F81" w:rsidP="006C1881">
      <w:pPr>
        <w:numPr>
          <w:ilvl w:val="0"/>
          <w:numId w:val="3"/>
        </w:numPr>
        <w:spacing w:before="100" w:beforeAutospacing="1" w:after="100" w:afterAutospacing="1"/>
        <w:ind w:left="562" w:hanging="562"/>
        <w:rPr>
          <w:szCs w:val="22"/>
        </w:rPr>
      </w:pPr>
      <w:bookmarkStart w:id="30" w:name="_Ref463017912"/>
      <w:r>
        <w:rPr>
          <w:lang w:eastAsia="zh-CN"/>
        </w:rPr>
        <w:t>R1-167595, “</w:t>
      </w:r>
      <w:r w:rsidR="001C29A8">
        <w:rPr>
          <w:lang w:eastAsia="zh-CN"/>
        </w:rPr>
        <w:t xml:space="preserve">OTFS </w:t>
      </w:r>
      <w:r>
        <w:rPr>
          <w:lang w:eastAsia="zh-CN"/>
        </w:rPr>
        <w:t xml:space="preserve">Performance Evaluation </w:t>
      </w:r>
      <w:r w:rsidR="001C29A8">
        <w:rPr>
          <w:lang w:eastAsia="zh-CN"/>
        </w:rPr>
        <w:t>for High Speed Use Case</w:t>
      </w:r>
      <w:r>
        <w:rPr>
          <w:lang w:eastAsia="zh-CN"/>
        </w:rPr>
        <w:t>,” Cohere Technologies, TSG RAN WG1 #86, Gothenburg, Sweden</w:t>
      </w:r>
      <w:r w:rsidR="00512E8F">
        <w:rPr>
          <w:lang w:eastAsia="zh-CN"/>
        </w:rPr>
        <w:t>, August 2016</w:t>
      </w:r>
      <w:r>
        <w:rPr>
          <w:lang w:eastAsia="zh-CN"/>
        </w:rPr>
        <w:t>.</w:t>
      </w:r>
      <w:bookmarkEnd w:id="30"/>
    </w:p>
    <w:p w14:paraId="6F52B4BA" w14:textId="77777777" w:rsidR="006D4F21" w:rsidRDefault="006D4F21"/>
    <w:sectPr w:rsidR="006D4F21" w:rsidSect="00877659">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B6343" w14:textId="77777777" w:rsidR="00B03E01" w:rsidRDefault="00B03E01">
      <w:pPr>
        <w:spacing w:after="0"/>
      </w:pPr>
      <w:r>
        <w:separator/>
      </w:r>
    </w:p>
  </w:endnote>
  <w:endnote w:type="continuationSeparator" w:id="0">
    <w:p w14:paraId="5F98FBD0" w14:textId="77777777" w:rsidR="00B03E01" w:rsidRDefault="00B03E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mbria Math">
    <w:panose1 w:val="02040503050406030204"/>
    <w:charset w:val="00"/>
    <w:family w:val="auto"/>
    <w:pitch w:val="variable"/>
    <w:sig w:usb0="E00002FF" w:usb1="42002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204FD" w14:textId="77777777" w:rsidR="00CB77CA" w:rsidRDefault="00D9662E">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F2B79" w14:textId="77777777" w:rsidR="00B03E01" w:rsidRDefault="00B03E01">
      <w:pPr>
        <w:spacing w:after="0"/>
      </w:pPr>
      <w:r>
        <w:separator/>
      </w:r>
    </w:p>
  </w:footnote>
  <w:footnote w:type="continuationSeparator" w:id="0">
    <w:p w14:paraId="45C69619" w14:textId="77777777" w:rsidR="00B03E01" w:rsidRDefault="00B03E01">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98A24" w14:textId="77777777" w:rsidR="00CB77CA" w:rsidRDefault="00D9662E">
    <w:pPr>
      <w:pStyle w:val="Header"/>
      <w:framePr w:wrap="auto" w:vAnchor="text" w:hAnchor="margin" w:xAlign="center" w:y="1"/>
      <w:widowControl/>
    </w:pPr>
    <w:r>
      <w:fldChar w:fldCharType="begin"/>
    </w:r>
    <w:r>
      <w:instrText xml:space="preserve"> PAGE </w:instrText>
    </w:r>
    <w:r>
      <w:fldChar w:fldCharType="separate"/>
    </w:r>
    <w:r w:rsidR="00B03E01">
      <w:t>1</w:t>
    </w:r>
    <w:r>
      <w:fldChar w:fldCharType="end"/>
    </w:r>
  </w:p>
  <w:p w14:paraId="16D559A7" w14:textId="77777777" w:rsidR="00CB77CA" w:rsidRDefault="00B03E0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6FF54B00"/>
    <w:multiLevelType w:val="hybridMultilevel"/>
    <w:tmpl w:val="EE0244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74565207"/>
    <w:multiLevelType w:val="hybridMultilevel"/>
    <w:tmpl w:val="FEA0FF18"/>
    <w:lvl w:ilvl="0" w:tplc="D7709F2E">
      <w:start w:val="1"/>
      <w:numFmt w:val="decimal"/>
      <w:pStyle w:val="Heading2"/>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0"/>
  <w:hideSpellingErrors/>
  <w:hideGrammaticalErrors/>
  <w:defaultTabStop w:val="720"/>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881"/>
    <w:rsid w:val="0000459F"/>
    <w:rsid w:val="00102654"/>
    <w:rsid w:val="00103C98"/>
    <w:rsid w:val="00151802"/>
    <w:rsid w:val="00165556"/>
    <w:rsid w:val="001677B7"/>
    <w:rsid w:val="0017635E"/>
    <w:rsid w:val="00182E53"/>
    <w:rsid w:val="001A23BA"/>
    <w:rsid w:val="001B7D69"/>
    <w:rsid w:val="001C29A8"/>
    <w:rsid w:val="001D45A0"/>
    <w:rsid w:val="0020610D"/>
    <w:rsid w:val="002377C8"/>
    <w:rsid w:val="00276F81"/>
    <w:rsid w:val="002A3287"/>
    <w:rsid w:val="002D3D6D"/>
    <w:rsid w:val="002E5F16"/>
    <w:rsid w:val="00305F7D"/>
    <w:rsid w:val="00310809"/>
    <w:rsid w:val="003319C2"/>
    <w:rsid w:val="003452FB"/>
    <w:rsid w:val="003605C1"/>
    <w:rsid w:val="003677F5"/>
    <w:rsid w:val="003700B4"/>
    <w:rsid w:val="0039147B"/>
    <w:rsid w:val="003B2CB3"/>
    <w:rsid w:val="003D54A2"/>
    <w:rsid w:val="003E7D65"/>
    <w:rsid w:val="00404AB5"/>
    <w:rsid w:val="00434262"/>
    <w:rsid w:val="00450600"/>
    <w:rsid w:val="004C7486"/>
    <w:rsid w:val="004D39E6"/>
    <w:rsid w:val="004D50E2"/>
    <w:rsid w:val="00512E8F"/>
    <w:rsid w:val="00514E2A"/>
    <w:rsid w:val="00564554"/>
    <w:rsid w:val="005769A3"/>
    <w:rsid w:val="005805B4"/>
    <w:rsid w:val="005932E1"/>
    <w:rsid w:val="005E47E9"/>
    <w:rsid w:val="005F7F78"/>
    <w:rsid w:val="00622B1B"/>
    <w:rsid w:val="00631D48"/>
    <w:rsid w:val="00633550"/>
    <w:rsid w:val="006509DC"/>
    <w:rsid w:val="00674D50"/>
    <w:rsid w:val="006B1B66"/>
    <w:rsid w:val="006C1881"/>
    <w:rsid w:val="006D4F21"/>
    <w:rsid w:val="006D7D23"/>
    <w:rsid w:val="00706F88"/>
    <w:rsid w:val="0076240C"/>
    <w:rsid w:val="00772641"/>
    <w:rsid w:val="00773A55"/>
    <w:rsid w:val="00780D29"/>
    <w:rsid w:val="00783BF0"/>
    <w:rsid w:val="00792487"/>
    <w:rsid w:val="007A6C14"/>
    <w:rsid w:val="007B1741"/>
    <w:rsid w:val="007C1E1C"/>
    <w:rsid w:val="007E4065"/>
    <w:rsid w:val="008376E1"/>
    <w:rsid w:val="008439B6"/>
    <w:rsid w:val="00856C81"/>
    <w:rsid w:val="008E474C"/>
    <w:rsid w:val="00923C38"/>
    <w:rsid w:val="009523FE"/>
    <w:rsid w:val="009A1E4C"/>
    <w:rsid w:val="009B5B7B"/>
    <w:rsid w:val="009E6AC8"/>
    <w:rsid w:val="009F5B17"/>
    <w:rsid w:val="00A005FE"/>
    <w:rsid w:val="00A5200A"/>
    <w:rsid w:val="00AD7053"/>
    <w:rsid w:val="00AF60BE"/>
    <w:rsid w:val="00B01B97"/>
    <w:rsid w:val="00B03E01"/>
    <w:rsid w:val="00B064C3"/>
    <w:rsid w:val="00B34E1D"/>
    <w:rsid w:val="00B41E15"/>
    <w:rsid w:val="00B4495C"/>
    <w:rsid w:val="00B5465D"/>
    <w:rsid w:val="00B714FB"/>
    <w:rsid w:val="00BE0BA0"/>
    <w:rsid w:val="00C10996"/>
    <w:rsid w:val="00C8764C"/>
    <w:rsid w:val="00CC5C00"/>
    <w:rsid w:val="00D036AA"/>
    <w:rsid w:val="00D327B2"/>
    <w:rsid w:val="00D7787D"/>
    <w:rsid w:val="00D93488"/>
    <w:rsid w:val="00D9429E"/>
    <w:rsid w:val="00D9662E"/>
    <w:rsid w:val="00DC79A6"/>
    <w:rsid w:val="00DF77B0"/>
    <w:rsid w:val="00E75536"/>
    <w:rsid w:val="00E769D1"/>
    <w:rsid w:val="00E76F46"/>
    <w:rsid w:val="00E96209"/>
    <w:rsid w:val="00ED604F"/>
    <w:rsid w:val="00EE5365"/>
    <w:rsid w:val="00F75E45"/>
    <w:rsid w:val="00F77C92"/>
    <w:rsid w:val="00FA046C"/>
    <w:rsid w:val="00FB5262"/>
    <w:rsid w:val="00FB6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3C4440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C1881"/>
    <w:pPr>
      <w:overflowPunct w:val="0"/>
      <w:autoSpaceDE w:val="0"/>
      <w:autoSpaceDN w:val="0"/>
      <w:adjustRightInd w:val="0"/>
      <w:spacing w:after="180"/>
      <w:textAlignment w:val="baseline"/>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6C18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uiPriority w:val="9"/>
    <w:qFormat/>
    <w:rsid w:val="006C1881"/>
    <w:pPr>
      <w:numPr>
        <w:numId w:val="1"/>
      </w:numPr>
      <w:tabs>
        <w:tab w:val="left" w:pos="567"/>
      </w:tabs>
      <w:spacing w:before="180" w:after="180"/>
      <w:ind w:left="567" w:hanging="567"/>
      <w:outlineLvl w:val="1"/>
    </w:pPr>
    <w:rPr>
      <w:rFonts w:ascii="Arial" w:eastAsia="Times New Roman" w:hAnsi="Arial" w:cs="Times New Roman"/>
      <w:color w:val="auto"/>
      <w:szCs w:val="20"/>
    </w:rPr>
  </w:style>
  <w:style w:type="paragraph" w:styleId="Heading3">
    <w:name w:val="heading 3"/>
    <w:basedOn w:val="Heading2"/>
    <w:next w:val="Normal"/>
    <w:link w:val="Heading3Char"/>
    <w:uiPriority w:val="9"/>
    <w:qFormat/>
    <w:rsid w:val="006C1881"/>
    <w:pPr>
      <w:numPr>
        <w:numId w:val="0"/>
      </w:numPr>
      <w:spacing w:before="120"/>
      <w:ind w:left="567" w:hanging="567"/>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C1881"/>
    <w:rPr>
      <w:rFonts w:ascii="Arial" w:eastAsia="Times New Roman" w:hAnsi="Arial" w:cs="Times New Roman"/>
      <w:sz w:val="32"/>
      <w:szCs w:val="20"/>
    </w:rPr>
  </w:style>
  <w:style w:type="character" w:customStyle="1" w:styleId="Heading3Char">
    <w:name w:val="Heading 3 Char"/>
    <w:basedOn w:val="DefaultParagraphFont"/>
    <w:link w:val="Heading3"/>
    <w:uiPriority w:val="9"/>
    <w:rsid w:val="006C1881"/>
    <w:rPr>
      <w:rFonts w:ascii="Arial" w:eastAsia="Times New Roman" w:hAnsi="Arial" w:cs="Times New Roman"/>
      <w:sz w:val="28"/>
      <w:szCs w:val="20"/>
    </w:rPr>
  </w:style>
  <w:style w:type="paragraph" w:styleId="Header">
    <w:name w:val="header"/>
    <w:link w:val="HeaderChar"/>
    <w:uiPriority w:val="99"/>
    <w:qFormat/>
    <w:rsid w:val="006C1881"/>
    <w:pPr>
      <w:widowControl w:val="0"/>
      <w:overflowPunct w:val="0"/>
      <w:autoSpaceDE w:val="0"/>
      <w:autoSpaceDN w:val="0"/>
      <w:adjustRightInd w:val="0"/>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uiPriority w:val="99"/>
    <w:rsid w:val="006C1881"/>
    <w:rPr>
      <w:rFonts w:ascii="Arial" w:eastAsia="Times New Roman" w:hAnsi="Arial" w:cs="Times New Roman"/>
      <w:b/>
      <w:noProof/>
      <w:sz w:val="18"/>
      <w:szCs w:val="20"/>
    </w:rPr>
  </w:style>
  <w:style w:type="paragraph" w:styleId="Footer">
    <w:name w:val="footer"/>
    <w:basedOn w:val="Header"/>
    <w:link w:val="FooterChar"/>
    <w:uiPriority w:val="99"/>
    <w:qFormat/>
    <w:rsid w:val="006C1881"/>
    <w:pPr>
      <w:jc w:val="center"/>
    </w:pPr>
    <w:rPr>
      <w:i/>
    </w:rPr>
  </w:style>
  <w:style w:type="character" w:customStyle="1" w:styleId="FooterChar">
    <w:name w:val="Footer Char"/>
    <w:basedOn w:val="DefaultParagraphFont"/>
    <w:link w:val="Footer"/>
    <w:uiPriority w:val="99"/>
    <w:rsid w:val="006C1881"/>
    <w:rPr>
      <w:rFonts w:ascii="Arial" w:eastAsia="Times New Roman" w:hAnsi="Arial" w:cs="Times New Roman"/>
      <w:b/>
      <w:i/>
      <w:noProof/>
      <w:sz w:val="18"/>
      <w:szCs w:val="20"/>
    </w:rPr>
  </w:style>
  <w:style w:type="paragraph" w:styleId="Caption">
    <w:name w:val="caption"/>
    <w:basedOn w:val="Normal"/>
    <w:next w:val="Normal"/>
    <w:uiPriority w:val="35"/>
    <w:qFormat/>
    <w:rsid w:val="006C1881"/>
    <w:pPr>
      <w:spacing w:before="120" w:after="120"/>
    </w:pPr>
    <w:rPr>
      <w:b/>
    </w:rPr>
  </w:style>
  <w:style w:type="character" w:styleId="CommentReference">
    <w:name w:val="annotation reference"/>
    <w:uiPriority w:val="99"/>
    <w:semiHidden/>
    <w:rsid w:val="006C1881"/>
    <w:rPr>
      <w:sz w:val="16"/>
    </w:rPr>
  </w:style>
  <w:style w:type="paragraph" w:styleId="CommentText">
    <w:name w:val="annotation text"/>
    <w:basedOn w:val="Normal"/>
    <w:link w:val="CommentTextChar"/>
    <w:uiPriority w:val="99"/>
    <w:semiHidden/>
    <w:rsid w:val="006C1881"/>
  </w:style>
  <w:style w:type="character" w:customStyle="1" w:styleId="CommentTextChar">
    <w:name w:val="Comment Text Char"/>
    <w:basedOn w:val="DefaultParagraphFont"/>
    <w:link w:val="CommentText"/>
    <w:uiPriority w:val="99"/>
    <w:semiHidden/>
    <w:rsid w:val="006C1881"/>
    <w:rPr>
      <w:rFonts w:ascii="Times New Roman" w:eastAsia="Times New Roman" w:hAnsi="Times New Roman" w:cs="Times New Roman"/>
      <w:sz w:val="20"/>
      <w:szCs w:val="20"/>
    </w:rPr>
  </w:style>
  <w:style w:type="paragraph" w:customStyle="1" w:styleId="CRCoverPage">
    <w:name w:val="CR Cover Page"/>
    <w:rsid w:val="006C1881"/>
    <w:pPr>
      <w:spacing w:after="120"/>
    </w:pPr>
    <w:rPr>
      <w:rFonts w:ascii="Arial" w:eastAsia="Times New Roman" w:hAnsi="Arial" w:cs="Times New Roman"/>
      <w:sz w:val="20"/>
      <w:szCs w:val="20"/>
      <w:lang w:val="en-GB"/>
    </w:rPr>
  </w:style>
  <w:style w:type="paragraph" w:styleId="ListParagraph">
    <w:name w:val="List Paragraph"/>
    <w:basedOn w:val="Normal"/>
    <w:uiPriority w:val="34"/>
    <w:qFormat/>
    <w:rsid w:val="006C1881"/>
    <w:pPr>
      <w:tabs>
        <w:tab w:val="left" w:pos="1134"/>
        <w:tab w:val="left" w:pos="1871"/>
        <w:tab w:val="left" w:pos="2268"/>
      </w:tabs>
      <w:spacing w:before="120" w:after="0"/>
      <w:ind w:left="720"/>
      <w:contextualSpacing/>
    </w:pPr>
    <w:rPr>
      <w:rFonts w:eastAsia="MS Mincho"/>
      <w:sz w:val="24"/>
    </w:rPr>
  </w:style>
  <w:style w:type="character" w:customStyle="1" w:styleId="Heading1Char">
    <w:name w:val="Heading 1 Char"/>
    <w:basedOn w:val="DefaultParagraphFont"/>
    <w:link w:val="Heading1"/>
    <w:uiPriority w:val="9"/>
    <w:rsid w:val="006C1881"/>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6C1881"/>
    <w:pPr>
      <w:spacing w:after="0"/>
    </w:pPr>
    <w:rPr>
      <w:sz w:val="18"/>
      <w:szCs w:val="18"/>
    </w:rPr>
  </w:style>
  <w:style w:type="character" w:customStyle="1" w:styleId="BalloonTextChar">
    <w:name w:val="Balloon Text Char"/>
    <w:basedOn w:val="DefaultParagraphFont"/>
    <w:link w:val="BalloonText"/>
    <w:uiPriority w:val="99"/>
    <w:semiHidden/>
    <w:rsid w:val="006C1881"/>
    <w:rPr>
      <w:rFonts w:ascii="Times New Roman" w:eastAsia="Times New Roman"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4D39E6"/>
    <w:rPr>
      <w:b/>
      <w:bCs/>
    </w:rPr>
  </w:style>
  <w:style w:type="character" w:customStyle="1" w:styleId="CommentSubjectChar">
    <w:name w:val="Comment Subject Char"/>
    <w:basedOn w:val="CommentTextChar"/>
    <w:link w:val="CommentSubject"/>
    <w:uiPriority w:val="99"/>
    <w:semiHidden/>
    <w:rsid w:val="004D39E6"/>
    <w:rPr>
      <w:rFonts w:ascii="Times New Roman" w:eastAsia="Times New Roman" w:hAnsi="Times New Roman" w:cs="Times New Roman"/>
      <w:b/>
      <w:bCs/>
      <w:sz w:val="20"/>
      <w:szCs w:val="20"/>
    </w:rPr>
  </w:style>
  <w:style w:type="paragraph" w:customStyle="1" w:styleId="EX">
    <w:name w:val="EX"/>
    <w:basedOn w:val="Normal"/>
    <w:rsid w:val="00512E8F"/>
    <w:pPr>
      <w:keepLines/>
      <w:ind w:left="1702"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5.png"/><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emf"/><Relationship Id="rId8" Type="http://schemas.openxmlformats.org/officeDocument/2006/relationships/image" Target="media/image2.tiff"/><Relationship Id="rId9" Type="http://schemas.openxmlformats.org/officeDocument/2006/relationships/image" Target="media/image3.png"/><Relationship Id="rId10"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1572</Words>
  <Characters>8965</Characters>
  <Application>Microsoft Macintosh Word</Application>
  <DocSecurity>0</DocSecurity>
  <Lines>74</Lines>
  <Paragraphs>21</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Lisbon, Portugal, October 10-14, 2016</vt:lpstr>
      <vt:lpstr>    Introduction </vt:lpstr>
      <vt:lpstr>    OTFS Transmission Principles</vt:lpstr>
      <vt:lpstr>    OTFS Uplink Resource Allocation Scheme</vt:lpstr>
      <vt:lpstr>        3.1 PAPR For Small Packets</vt:lpstr>
      <vt:lpstr>        3.2 Frequency Diversity</vt:lpstr>
      <vt:lpstr>    Conclusion</vt:lpstr>
      <vt:lpstr>    References</vt:lpstr>
    </vt:vector>
  </TitlesOfParts>
  <LinksUpToDate>false</LinksUpToDate>
  <CharactersWithSpaces>10516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Ibars</dc:creator>
  <cp:keywords/>
  <dc:description/>
  <cp:lastModifiedBy>Konstantinos Dimou</cp:lastModifiedBy>
  <cp:revision>13</cp:revision>
  <dcterms:created xsi:type="dcterms:W3CDTF">2016-10-01T03:27:00Z</dcterms:created>
  <dcterms:modified xsi:type="dcterms:W3CDTF">2016-10-01T03:44:00Z</dcterms:modified>
</cp:coreProperties>
</file>